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3B0" w:rsidRDefault="004B63B0" w:rsidP="004B63B0">
      <w:pPr>
        <w:pStyle w:val="BlockText-Plain"/>
      </w:pPr>
    </w:p>
    <w:p w:rsidR="004B63B0" w:rsidRDefault="004B63B0" w:rsidP="004B63B0">
      <w:pPr>
        <w:pStyle w:val="Heading1"/>
        <w:keepNext/>
        <w:keepLines/>
      </w:pPr>
      <w:r>
        <w:t>EXPLANATORY STATEMENT</w:t>
      </w:r>
    </w:p>
    <w:p w:rsidR="004B63B0" w:rsidRPr="002B30E0" w:rsidRDefault="004B63B0" w:rsidP="004B63B0">
      <w:pPr>
        <w:pStyle w:val="Heading2"/>
      </w:pPr>
      <w:r w:rsidRPr="00DE2A56">
        <w:t xml:space="preserve">Defence Force Remuneration Tribunal Determination No. </w:t>
      </w:r>
      <w:r>
        <w:t>2</w:t>
      </w:r>
      <w:r w:rsidRPr="00DE2A56">
        <w:t xml:space="preserve"> of 20</w:t>
      </w:r>
      <w:r w:rsidRPr="006579BD">
        <w:t>21</w:t>
      </w:r>
      <w:r w:rsidRPr="00DE2A56">
        <w:t xml:space="preserve">, </w:t>
      </w:r>
      <w:r>
        <w:t xml:space="preserve">Salaries </w:t>
      </w:r>
      <w:r w:rsidRPr="00DE2A56">
        <w:t>–</w:t>
      </w:r>
      <w:r>
        <w:t xml:space="preserve"> </w:t>
      </w:r>
      <w:r w:rsidRPr="00DE2A56">
        <w:t>A</w:t>
      </w:r>
      <w:r>
        <w:t>ir Intelligence Officer Employment Category</w:t>
      </w:r>
      <w:r w:rsidRPr="00DE2A56">
        <w:t xml:space="preserve"> – amendment</w:t>
      </w:r>
    </w:p>
    <w:p w:rsidR="004B63B0" w:rsidRDefault="004B63B0" w:rsidP="004B63B0">
      <w:pPr>
        <w:pStyle w:val="BlockText-Plain"/>
        <w:tabs>
          <w:tab w:val="left" w:pos="7380"/>
        </w:tabs>
      </w:pPr>
      <w:r w:rsidRPr="002B30E0">
        <w:rPr>
          <w:rFonts w:cs="Arial"/>
        </w:rPr>
        <w:t xml:space="preserve">This Determination amends Defence Force Remuneration Tribunal (DFRT) Determination No. </w:t>
      </w:r>
      <w:r w:rsidRPr="00D85C28">
        <w:rPr>
          <w:rFonts w:cs="Arial"/>
        </w:rPr>
        <w:t>2</w:t>
      </w:r>
      <w:r w:rsidRPr="002B30E0">
        <w:rPr>
          <w:rFonts w:cs="Arial"/>
        </w:rPr>
        <w:t xml:space="preserve"> of</w:t>
      </w:r>
      <w:r>
        <w:rPr>
          <w:rFonts w:cs="Arial"/>
        </w:rPr>
        <w:t xml:space="preserve"> 2017</w:t>
      </w:r>
      <w:r w:rsidRPr="002B30E0">
        <w:rPr>
          <w:rFonts w:cs="Arial"/>
        </w:rPr>
        <w:t xml:space="preserve">, </w:t>
      </w:r>
      <w:r w:rsidRPr="00F07DD0">
        <w:rPr>
          <w:rFonts w:cs="Arial"/>
          <w:i/>
        </w:rPr>
        <w:t>Salaries</w:t>
      </w:r>
      <w:r w:rsidRPr="002B30E0">
        <w:rPr>
          <w:rFonts w:cs="Arial"/>
        </w:rPr>
        <w:t xml:space="preserve"> (the Principal Determination), made under section 58H of the </w:t>
      </w:r>
      <w:r w:rsidRPr="002B30E0">
        <w:rPr>
          <w:rFonts w:cs="Arial"/>
          <w:i/>
        </w:rPr>
        <w:t>Defence Act 1903</w:t>
      </w:r>
      <w:r w:rsidRPr="002B30E0">
        <w:rPr>
          <w:rFonts w:cs="Arial"/>
        </w:rPr>
        <w:t xml:space="preserve"> (the Act)</w:t>
      </w:r>
      <w:r w:rsidRPr="002B30E0">
        <w:t xml:space="preserve"> </w:t>
      </w:r>
      <w:r w:rsidRPr="000D4FC9">
        <w:t xml:space="preserve">and in accordance with subsection 33(3) of the </w:t>
      </w:r>
      <w:r w:rsidRPr="000D4FC9">
        <w:rPr>
          <w:i/>
        </w:rPr>
        <w:t>Acts Interpretation Act 1901</w:t>
      </w:r>
      <w:r w:rsidRPr="000D4FC9">
        <w:t xml:space="preserve"> (AIA Act)</w:t>
      </w:r>
      <w:r w:rsidRPr="002B30E0">
        <w:rPr>
          <w:rFonts w:cs="Arial"/>
        </w:rPr>
        <w:t>. The Principal Determination sets out provisions dealing with salary for members of the Australian Defence Force (ADF).</w:t>
      </w:r>
      <w:r>
        <w:rPr>
          <w:rFonts w:cs="Arial"/>
        </w:rPr>
        <w:t xml:space="preserve"> </w:t>
      </w:r>
    </w:p>
    <w:p w:rsidR="004B63B0" w:rsidRDefault="004B63B0" w:rsidP="004B63B0">
      <w:pPr>
        <w:pStyle w:val="BlockText-Plain"/>
      </w:pPr>
      <w:r>
        <w:t xml:space="preserve">The purpose of this Determination is to amend Schedule B.2 of the Principal Determination to update the employment categories for the Air Force’s Intelligence Officer </w:t>
      </w:r>
      <w:proofErr w:type="gramStart"/>
      <w:r>
        <w:t>employment</w:t>
      </w:r>
      <w:proofErr w:type="gramEnd"/>
      <w:r>
        <w:t xml:space="preserve"> categories. It amends the names of Intelligence Officer </w:t>
      </w:r>
      <w:proofErr w:type="gramStart"/>
      <w:r>
        <w:t>employment</w:t>
      </w:r>
      <w:proofErr w:type="gramEnd"/>
      <w:r>
        <w:t xml:space="preserve"> categories to Air Intelligence Officer and adds two skill grades/pay grade placements into the relevant tables.</w:t>
      </w:r>
    </w:p>
    <w:p w:rsidR="004B63B0" w:rsidRDefault="004B63B0" w:rsidP="004B63B0">
      <w:pPr>
        <w:pStyle w:val="BlockText-Plain"/>
        <w:rPr>
          <w:snapToGrid w:val="0"/>
        </w:rPr>
      </w:pPr>
      <w:r>
        <w:rPr>
          <w:snapToGrid w:val="0"/>
        </w:rPr>
        <w:t>Section 1 of this Determination sets out the manner in which this Determination may be cited.</w:t>
      </w:r>
    </w:p>
    <w:p w:rsidR="004B63B0" w:rsidRDefault="004B63B0" w:rsidP="004B63B0">
      <w:pPr>
        <w:pStyle w:val="BlockText-Plain"/>
        <w:rPr>
          <w:snapToGrid w:val="0"/>
        </w:rPr>
      </w:pPr>
      <w:r>
        <w:rPr>
          <w:snapToGrid w:val="0"/>
        </w:rPr>
        <w:t>Section</w:t>
      </w:r>
      <w:r w:rsidRPr="00AB19FC">
        <w:rPr>
          <w:snapToGrid w:val="0"/>
        </w:rPr>
        <w:t xml:space="preserve"> 2 of this Determination provides that the Determi</w:t>
      </w:r>
      <w:r>
        <w:rPr>
          <w:snapToGrid w:val="0"/>
        </w:rPr>
        <w:t>nation commences on</w:t>
      </w:r>
      <w:r w:rsidRPr="0098387E">
        <w:rPr>
          <w:snapToGrid w:val="0"/>
        </w:rPr>
        <w:t xml:space="preserve"> 1 April 2021.</w:t>
      </w:r>
    </w:p>
    <w:p w:rsidR="004B63B0" w:rsidRPr="00AB19FC" w:rsidRDefault="004B63B0" w:rsidP="004B63B0">
      <w:pPr>
        <w:pStyle w:val="BlockText-Plain"/>
      </w:pPr>
      <w:r>
        <w:rPr>
          <w:snapToGrid w:val="0"/>
        </w:rPr>
        <w:t xml:space="preserve">Section 3 provides that this instrument has authority under section 58H of the </w:t>
      </w:r>
      <w:r w:rsidRPr="00F33564">
        <w:rPr>
          <w:i/>
          <w:snapToGrid w:val="0"/>
        </w:rPr>
        <w:t>Defence Act 1903</w:t>
      </w:r>
      <w:r>
        <w:rPr>
          <w:snapToGrid w:val="0"/>
        </w:rPr>
        <w:t>.</w:t>
      </w:r>
    </w:p>
    <w:p w:rsidR="004B63B0" w:rsidRPr="006F1C77" w:rsidRDefault="004B63B0" w:rsidP="004B63B0">
      <w:pPr>
        <w:pStyle w:val="BlockText-Plain"/>
        <w:rPr>
          <w:snapToGrid w:val="0"/>
        </w:rPr>
      </w:pPr>
      <w:r w:rsidRPr="006F1C77">
        <w:rPr>
          <w:snapToGrid w:val="0"/>
        </w:rPr>
        <w:t>Section 4 provides that each instrument that is specified in a Schedule to this instrument is amended or</w:t>
      </w:r>
      <w:r>
        <w:rPr>
          <w:snapToGrid w:val="0"/>
        </w:rPr>
        <w:t xml:space="preserve"> </w:t>
      </w:r>
      <w:r w:rsidRPr="006F1C77">
        <w:rPr>
          <w:snapToGrid w:val="0"/>
        </w:rPr>
        <w:t>repealed as set out in the applicable items in the Schedule concerned, and any other item in a Schedule</w:t>
      </w:r>
      <w:r>
        <w:rPr>
          <w:snapToGrid w:val="0"/>
        </w:rPr>
        <w:t xml:space="preserve"> </w:t>
      </w:r>
      <w:r w:rsidRPr="006F1C77">
        <w:rPr>
          <w:snapToGrid w:val="0"/>
        </w:rPr>
        <w:t>to this instrument has effect according to its terms.</w:t>
      </w:r>
    </w:p>
    <w:p w:rsidR="004B63B0" w:rsidRPr="00710306" w:rsidRDefault="004B63B0" w:rsidP="004B63B0">
      <w:pPr>
        <w:pStyle w:val="BlockText-Plain"/>
        <w:rPr>
          <w:snapToGrid w:val="0"/>
          <w:u w:val="single"/>
        </w:rPr>
      </w:pPr>
      <w:r>
        <w:rPr>
          <w:snapToGrid w:val="0"/>
          <w:u w:val="single"/>
        </w:rPr>
        <w:t>Schedule 1–Air Intelligence Officer</w:t>
      </w:r>
    </w:p>
    <w:p w:rsidR="004B63B0" w:rsidRDefault="004B63B0" w:rsidP="004B63B0">
      <w:pPr>
        <w:pStyle w:val="BlockText-Plain"/>
        <w:rPr>
          <w:snapToGrid w:val="0"/>
        </w:rPr>
      </w:pPr>
      <w:r>
        <w:rPr>
          <w:snapToGrid w:val="0"/>
        </w:rPr>
        <w:t xml:space="preserve">Sections 1 to 6 omit and substitute the tables for pay grades 2, 3, 4, 5, 6, 7 and 8 in Part 4 of Schedule B.2 of the Principal Determination. </w:t>
      </w:r>
      <w:r>
        <w:t>The tables list the employment categories in Air Force that are paid at the pay grade specified in the relevant table.</w:t>
      </w:r>
      <w:r>
        <w:rPr>
          <w:snapToGrid w:val="0"/>
        </w:rPr>
        <w:t xml:space="preserve"> </w:t>
      </w:r>
      <w:r>
        <w:t xml:space="preserve">The employment category tables substitute ‘Intelligence Officer’ with equivalent ‘Air Intelligence Officer’ categories and insert additional Air Intelligence Officer </w:t>
      </w:r>
      <w:proofErr w:type="gramStart"/>
      <w:r>
        <w:t>employment</w:t>
      </w:r>
      <w:proofErr w:type="gramEnd"/>
      <w:r>
        <w:t xml:space="preserve"> categories to the tables for Pay Grade 5 and Pay Grade 6 (and any relevant Command associated command placements).</w:t>
      </w:r>
    </w:p>
    <w:p w:rsidR="004B63B0" w:rsidRDefault="004B63B0" w:rsidP="004B63B0">
      <w:pPr>
        <w:pStyle w:val="BlockText-Plain"/>
        <w:rPr>
          <w:snapToGrid w:val="0"/>
        </w:rPr>
      </w:pPr>
    </w:p>
    <w:p w:rsidR="004B63B0" w:rsidRDefault="004B63B0" w:rsidP="004B63B0">
      <w:pPr>
        <w:pStyle w:val="BlockText-Plain"/>
        <w:jc w:val="right"/>
      </w:pPr>
    </w:p>
    <w:p w:rsidR="004B63B0" w:rsidRDefault="004B63B0" w:rsidP="004B63B0">
      <w:pPr>
        <w:pStyle w:val="BlockText-Plain"/>
        <w:jc w:val="right"/>
      </w:pPr>
      <w:r>
        <w:rPr>
          <w:b/>
        </w:rPr>
        <w:t>Authority:</w:t>
      </w:r>
      <w:r>
        <w:t xml:space="preserve">  Section 58H of the </w:t>
      </w:r>
      <w:r>
        <w:br/>
      </w:r>
      <w:r>
        <w:rPr>
          <w:i/>
        </w:rPr>
        <w:t>Defence Act 1903</w:t>
      </w:r>
    </w:p>
    <w:p w:rsidR="004B63B0" w:rsidRDefault="004B63B0" w:rsidP="004B63B0"/>
    <w:p w:rsidR="005122DE" w:rsidRDefault="004B63B0">
      <w:bookmarkStart w:id="0" w:name="_GoBack"/>
      <w:bookmarkEnd w:id="0"/>
    </w:p>
    <w:sectPr w:rsidR="005122DE" w:rsidSect="007379A2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1134" w:right="1134" w:bottom="99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A" w:rsidRDefault="004B63B0">
    <w:pPr>
      <w:pStyle w:val="Footer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A" w:rsidRDefault="004B63B0">
    <w:pPr>
      <w:pStyle w:val="Footer"/>
      <w:ind w:left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A" w:rsidRDefault="004B63B0"/>
  <w:p w:rsidR="006A336A" w:rsidRDefault="004B63B0">
    <w:pPr>
      <w:tabs>
        <w:tab w:val="right" w:pos="2410"/>
      </w:tabs>
      <w:ind w:left="2835" w:hanging="2835"/>
    </w:pPr>
  </w:p>
  <w:p w:rsidR="006A336A" w:rsidRDefault="004B63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36A" w:rsidRDefault="004B63B0"/>
  <w:p w:rsidR="006A336A" w:rsidRDefault="004B63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3B0"/>
    <w:rsid w:val="00423D9A"/>
    <w:rsid w:val="004B63B0"/>
    <w:rsid w:val="00D6746C"/>
    <w:rsid w:val="00F10A84"/>
    <w:rsid w:val="00F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E13FCB-CBBC-4FB8-99BA-AD35B4E0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3B0"/>
    <w:pPr>
      <w:keepLines/>
      <w:spacing w:after="0" w:line="240" w:lineRule="auto"/>
    </w:pPr>
    <w:rPr>
      <w:rFonts w:ascii="Arial" w:eastAsia="Times New Roman" w:hAnsi="Arial" w:cs="Times New Roman"/>
      <w:szCs w:val="20"/>
      <w:lang w:eastAsia="en-AU"/>
    </w:rPr>
  </w:style>
  <w:style w:type="paragraph" w:styleId="Heading1">
    <w:name w:val="heading 1"/>
    <w:aliases w:val="Document/Determination Title"/>
    <w:basedOn w:val="Normal"/>
    <w:next w:val="Normal"/>
    <w:link w:val="Heading1Char"/>
    <w:qFormat/>
    <w:rsid w:val="004B63B0"/>
    <w:pPr>
      <w:keepLines w:val="0"/>
      <w:widowControl w:val="0"/>
      <w:spacing w:after="240"/>
      <w:outlineLvl w:val="0"/>
    </w:pPr>
    <w:rPr>
      <w:b/>
      <w:sz w:val="36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4B63B0"/>
    <w:pPr>
      <w:keepNext/>
      <w:shd w:val="clear" w:color="FFFF00" w:fill="auto"/>
      <w:spacing w:after="240"/>
      <w:outlineLvl w:val="1"/>
    </w:pPr>
    <w:rPr>
      <w:b/>
      <w:color w:val="00008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/Determination Title Char"/>
    <w:basedOn w:val="DefaultParagraphFont"/>
    <w:link w:val="Heading1"/>
    <w:rsid w:val="004B63B0"/>
    <w:rPr>
      <w:rFonts w:ascii="Arial" w:eastAsia="Times New Roman" w:hAnsi="Arial" w:cs="Times New Roman"/>
      <w:b/>
      <w:sz w:val="36"/>
      <w:szCs w:val="20"/>
      <w:lang w:eastAsia="en-AU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4B63B0"/>
    <w:rPr>
      <w:rFonts w:ascii="Arial" w:eastAsia="Times New Roman" w:hAnsi="Arial" w:cs="Times New Roman"/>
      <w:b/>
      <w:color w:val="000080"/>
      <w:sz w:val="30"/>
      <w:szCs w:val="20"/>
      <w:shd w:val="clear" w:color="FFFF00" w:fill="auto"/>
      <w:lang w:eastAsia="en-AU"/>
    </w:rPr>
  </w:style>
  <w:style w:type="paragraph" w:customStyle="1" w:styleId="BlockText-Plain">
    <w:name w:val="Block Text- Plain"/>
    <w:basedOn w:val="Normal"/>
    <w:link w:val="BlockText-PlainChar"/>
    <w:rsid w:val="004B63B0"/>
    <w:pPr>
      <w:keepLines w:val="0"/>
      <w:spacing w:after="200"/>
    </w:pPr>
    <w:rPr>
      <w:sz w:val="20"/>
    </w:rPr>
  </w:style>
  <w:style w:type="paragraph" w:styleId="Footer">
    <w:name w:val="footer"/>
    <w:basedOn w:val="Normal"/>
    <w:link w:val="FooterChar"/>
    <w:rsid w:val="004B63B0"/>
    <w:pPr>
      <w:tabs>
        <w:tab w:val="center" w:pos="4395"/>
        <w:tab w:val="right" w:pos="8931"/>
      </w:tabs>
      <w:ind w:left="-425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B63B0"/>
    <w:rPr>
      <w:rFonts w:ascii="Arial" w:eastAsia="Times New Roman" w:hAnsi="Arial" w:cs="Times New Roman"/>
      <w:sz w:val="18"/>
      <w:szCs w:val="20"/>
      <w:lang w:eastAsia="en-AU"/>
    </w:rPr>
  </w:style>
  <w:style w:type="character" w:customStyle="1" w:styleId="BlockText-PlainChar">
    <w:name w:val="Block Text- Plain Char"/>
    <w:basedOn w:val="DefaultParagraphFont"/>
    <w:link w:val="BlockText-Plain"/>
    <w:rsid w:val="004B63B0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Defence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Urbani, Karen MS</dc:creator>
  <cp:keywords/>
  <dc:description/>
  <cp:lastModifiedBy>Urbani, Karen MS</cp:lastModifiedBy>
  <cp:revision>1</cp:revision>
  <dcterms:created xsi:type="dcterms:W3CDTF">2021-03-22T23:10:00Z</dcterms:created>
  <dcterms:modified xsi:type="dcterms:W3CDTF">2021-03-22T23:10:00Z</dcterms:modified>
</cp:coreProperties>
</file>