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52C" w:rsidRDefault="0093652C" w:rsidP="0093652C">
      <w:pPr>
        <w:pStyle w:val="BlockText-Plain"/>
      </w:pPr>
    </w:p>
    <w:p w:rsidR="0093652C" w:rsidRDefault="0093652C" w:rsidP="0093652C">
      <w:pPr>
        <w:pStyle w:val="Heading1"/>
        <w:keepNext/>
        <w:keepLines/>
      </w:pPr>
      <w:r>
        <w:t>EXPLANATORY STATEMENT</w:t>
      </w:r>
    </w:p>
    <w:p w:rsidR="0093652C" w:rsidRPr="002B30E0" w:rsidRDefault="0093652C" w:rsidP="0093652C">
      <w:pPr>
        <w:pStyle w:val="Heading2"/>
      </w:pPr>
      <w:r>
        <w:t xml:space="preserve">Defence Force Remuneration Tribunal Determination No. 1 of 2021, ADF Allowances </w:t>
      </w:r>
      <w:r w:rsidRPr="00EB7866">
        <w:t>–</w:t>
      </w:r>
      <w:r>
        <w:t xml:space="preserve"> Separation allowance and Special Forces disability allowance</w:t>
      </w:r>
      <w:r w:rsidRPr="00EB7866">
        <w:t xml:space="preserve"> – amendment</w:t>
      </w:r>
    </w:p>
    <w:p w:rsidR="0093652C" w:rsidRDefault="0093652C" w:rsidP="0093652C">
      <w:pPr>
        <w:pStyle w:val="BlockText-Plain"/>
        <w:tabs>
          <w:tab w:val="left" w:pos="7380"/>
        </w:tabs>
      </w:pPr>
      <w:r w:rsidRPr="002B30E0">
        <w:rPr>
          <w:rFonts w:cs="Arial"/>
        </w:rPr>
        <w:t xml:space="preserve">This Determination amends Defence Force Remuneration Tribunal (DFRT) Determination No. </w:t>
      </w:r>
      <w:r>
        <w:rPr>
          <w:rFonts w:cs="Arial"/>
        </w:rPr>
        <w:t>11</w:t>
      </w:r>
      <w:r w:rsidRPr="002B30E0">
        <w:rPr>
          <w:rFonts w:cs="Arial"/>
        </w:rPr>
        <w:t xml:space="preserve"> of</w:t>
      </w:r>
      <w:r>
        <w:rPr>
          <w:rFonts w:cs="Arial"/>
        </w:rPr>
        <w:t xml:space="preserve"> 2013</w:t>
      </w:r>
      <w:r w:rsidRPr="002B30E0">
        <w:rPr>
          <w:rFonts w:cs="Arial"/>
        </w:rPr>
        <w:t xml:space="preserve">, </w:t>
      </w:r>
      <w:r w:rsidRPr="00EB7866">
        <w:rPr>
          <w:rFonts w:cs="Arial"/>
        </w:rPr>
        <w:t xml:space="preserve">ADF Allowances </w:t>
      </w:r>
      <w:r w:rsidRPr="002B30E0">
        <w:rPr>
          <w:rFonts w:cs="Arial"/>
        </w:rPr>
        <w:t xml:space="preserve">(the Principal Determination), made under section 58H of the </w:t>
      </w:r>
      <w:r w:rsidRPr="002B30E0">
        <w:rPr>
          <w:rFonts w:cs="Arial"/>
          <w:i/>
        </w:rPr>
        <w:t>Defence Act 1903</w:t>
      </w:r>
      <w:r w:rsidRPr="002B30E0">
        <w:rPr>
          <w:rFonts w:cs="Arial"/>
        </w:rPr>
        <w:t xml:space="preserve"> (the Act)</w:t>
      </w:r>
      <w:r w:rsidRPr="002B30E0">
        <w:t xml:space="preserve"> </w:t>
      </w:r>
      <w:r w:rsidRPr="000D4FC9">
        <w:t xml:space="preserve">and in accordance with subsection 33(3) of the </w:t>
      </w:r>
      <w:r w:rsidRPr="000D4FC9">
        <w:rPr>
          <w:i/>
        </w:rPr>
        <w:t>Acts Interpretation Act 1901</w:t>
      </w:r>
      <w:r w:rsidRPr="000D4FC9">
        <w:t xml:space="preserve"> (AIA Act)</w:t>
      </w:r>
      <w:r w:rsidRPr="002B30E0">
        <w:rPr>
          <w:rFonts w:cs="Arial"/>
        </w:rPr>
        <w:t xml:space="preserve">. The Principal Determination sets out provisions dealing with </w:t>
      </w:r>
      <w:r>
        <w:rPr>
          <w:rFonts w:cs="Arial"/>
        </w:rPr>
        <w:t>a</w:t>
      </w:r>
      <w:r w:rsidRPr="00EB7866">
        <w:rPr>
          <w:rFonts w:cs="Arial"/>
        </w:rPr>
        <w:t xml:space="preserve">llowances </w:t>
      </w:r>
      <w:r w:rsidRPr="002B30E0">
        <w:rPr>
          <w:rFonts w:cs="Arial"/>
        </w:rPr>
        <w:t>for members of the Australian Defence Force (ADF).</w:t>
      </w:r>
      <w:r>
        <w:rPr>
          <w:rFonts w:cs="Arial"/>
        </w:rPr>
        <w:t xml:space="preserve"> </w:t>
      </w:r>
    </w:p>
    <w:p w:rsidR="0093652C" w:rsidRPr="0097409B" w:rsidRDefault="0093652C" w:rsidP="0093652C">
      <w:pPr>
        <w:pStyle w:val="BlockText-Plain"/>
      </w:pPr>
      <w:r w:rsidRPr="0097409B">
        <w:t>The purp</w:t>
      </w:r>
      <w:r>
        <w:t>ose of this Determination is to amend the Principal Determination</w:t>
      </w:r>
      <w:r w:rsidRPr="0097409B">
        <w:t xml:space="preserve"> to update the conditions for Combat Controllers and Combat Control Officers to ensure they are eligible to claim the discounted rate of separation allowance</w:t>
      </w:r>
      <w:r>
        <w:t xml:space="preserve"> under subsection B.3.6.2. The</w:t>
      </w:r>
      <w:r w:rsidRPr="0097409B">
        <w:t xml:space="preserve"> Determination also updates the </w:t>
      </w:r>
      <w:r>
        <w:t xml:space="preserve">conditions of eligibility for Special Forces disability allowance which relates to </w:t>
      </w:r>
      <w:r w:rsidRPr="0097409B">
        <w:t>Combat Controllers and Combat Control Officers</w:t>
      </w:r>
      <w:r>
        <w:t xml:space="preserve">. </w:t>
      </w:r>
    </w:p>
    <w:p w:rsidR="0093652C" w:rsidRDefault="0093652C" w:rsidP="0093652C">
      <w:pPr>
        <w:pStyle w:val="BlockText-Plain"/>
        <w:rPr>
          <w:snapToGrid w:val="0"/>
        </w:rPr>
      </w:pPr>
      <w:r>
        <w:rPr>
          <w:snapToGrid w:val="0"/>
        </w:rPr>
        <w:t>Section 1 of this Determination sets out the manner in which this Determination may be cited.</w:t>
      </w:r>
    </w:p>
    <w:p w:rsidR="0093652C" w:rsidRDefault="0093652C" w:rsidP="0093652C">
      <w:pPr>
        <w:pStyle w:val="BlockText-Plain"/>
        <w:rPr>
          <w:snapToGrid w:val="0"/>
        </w:rPr>
      </w:pPr>
      <w:r>
        <w:rPr>
          <w:snapToGrid w:val="0"/>
        </w:rPr>
        <w:t>Section</w:t>
      </w:r>
      <w:r w:rsidRPr="00AB19FC">
        <w:rPr>
          <w:snapToGrid w:val="0"/>
        </w:rPr>
        <w:t xml:space="preserve"> 2 of this Determination provides that the Determi</w:t>
      </w:r>
      <w:r>
        <w:rPr>
          <w:snapToGrid w:val="0"/>
        </w:rPr>
        <w:t>nation commences on date of signature.</w:t>
      </w:r>
    </w:p>
    <w:p w:rsidR="0093652C" w:rsidRPr="00AB19FC" w:rsidRDefault="0093652C" w:rsidP="0093652C">
      <w:pPr>
        <w:pStyle w:val="BlockText-Plain"/>
      </w:pPr>
      <w:r>
        <w:rPr>
          <w:snapToGrid w:val="0"/>
        </w:rPr>
        <w:t xml:space="preserve">Section 3 provides that this instrument has authority under section 58H of the </w:t>
      </w:r>
      <w:r w:rsidRPr="00F33564">
        <w:rPr>
          <w:i/>
          <w:snapToGrid w:val="0"/>
        </w:rPr>
        <w:t>Defence Act 1903</w:t>
      </w:r>
      <w:r>
        <w:rPr>
          <w:snapToGrid w:val="0"/>
        </w:rPr>
        <w:t>.</w:t>
      </w:r>
    </w:p>
    <w:p w:rsidR="0093652C" w:rsidRPr="006F1C77" w:rsidRDefault="0093652C" w:rsidP="0093652C">
      <w:pPr>
        <w:pStyle w:val="BlockText-Plain"/>
        <w:rPr>
          <w:snapToGrid w:val="0"/>
        </w:rPr>
      </w:pPr>
      <w:r w:rsidRPr="006F1C77">
        <w:rPr>
          <w:snapToGrid w:val="0"/>
        </w:rPr>
        <w:t>Section 4 provides that each instrument that is specified in a Schedule to this instrument is amended or</w:t>
      </w:r>
      <w:r>
        <w:rPr>
          <w:snapToGrid w:val="0"/>
        </w:rPr>
        <w:t xml:space="preserve"> </w:t>
      </w:r>
      <w:r w:rsidRPr="006F1C77">
        <w:rPr>
          <w:snapToGrid w:val="0"/>
        </w:rPr>
        <w:t>repealed as set out in the applicable items in the Schedule concerned, and any other item in a Schedule</w:t>
      </w:r>
      <w:r>
        <w:rPr>
          <w:snapToGrid w:val="0"/>
        </w:rPr>
        <w:t xml:space="preserve"> </w:t>
      </w:r>
      <w:r w:rsidRPr="006F1C77">
        <w:rPr>
          <w:snapToGrid w:val="0"/>
        </w:rPr>
        <w:t>to this instrument has effect according to its terms.</w:t>
      </w:r>
    </w:p>
    <w:p w:rsidR="0093652C" w:rsidRPr="00710306" w:rsidRDefault="0093652C" w:rsidP="0093652C">
      <w:pPr>
        <w:pStyle w:val="BlockText-Plain"/>
        <w:rPr>
          <w:snapToGrid w:val="0"/>
          <w:u w:val="single"/>
        </w:rPr>
      </w:pPr>
      <w:r>
        <w:rPr>
          <w:snapToGrid w:val="0"/>
          <w:u w:val="single"/>
        </w:rPr>
        <w:t xml:space="preserve">Schedule 1 – </w:t>
      </w:r>
      <w:r w:rsidRPr="00EB7866">
        <w:rPr>
          <w:snapToGrid w:val="0"/>
          <w:u w:val="single"/>
        </w:rPr>
        <w:t>Combat Controllers and Combat Control Officers</w:t>
      </w:r>
      <w:r>
        <w:rPr>
          <w:snapToGrid w:val="0"/>
          <w:u w:val="single"/>
        </w:rPr>
        <w:t>.</w:t>
      </w:r>
    </w:p>
    <w:p w:rsidR="0093652C" w:rsidRDefault="0093652C" w:rsidP="0093652C">
      <w:pPr>
        <w:pStyle w:val="BlockText-Plain"/>
      </w:pPr>
      <w:r w:rsidRPr="005E7AD3">
        <w:rPr>
          <w:snapToGrid w:val="0"/>
        </w:rPr>
        <w:t xml:space="preserve">Section </w:t>
      </w:r>
      <w:r>
        <w:rPr>
          <w:snapToGrid w:val="0"/>
        </w:rPr>
        <w:t>1</w:t>
      </w:r>
      <w:r w:rsidRPr="005E7AD3">
        <w:rPr>
          <w:snapToGrid w:val="0"/>
        </w:rPr>
        <w:t xml:space="preserve"> amends subparagraph B.3.5.1.c.ii of the Principal Determination.</w:t>
      </w:r>
      <w:r>
        <w:rPr>
          <w:snapToGrid w:val="0"/>
        </w:rPr>
        <w:t xml:space="preserve"> Paragraph B.3.5.1.c provides that a member is eligible for separation allowance if they are a member with dependants who is eligible for specific annual rates of maritime disability allowance or specific annual or daily rates of Special Forces disability allowance. The amendment adds </w:t>
      </w:r>
      <w:r w:rsidRPr="0097409B">
        <w:t>Combat Controllers and Combat Control Officers</w:t>
      </w:r>
      <w:r>
        <w:t xml:space="preserve"> to the list of specified annual rates of disability allowance under subparagraph B.3.5.1.c.ii by reference to item 14. This enables these members to receive the discounted separation allowance payable under subsection B.3.6.2.</w:t>
      </w:r>
    </w:p>
    <w:p w:rsidR="0093652C" w:rsidRPr="008A4A56" w:rsidRDefault="0093652C" w:rsidP="0093652C">
      <w:pPr>
        <w:pStyle w:val="BlockText-Plain"/>
        <w:rPr>
          <w:snapToGrid w:val="0"/>
        </w:rPr>
      </w:pPr>
      <w:r w:rsidRPr="005E7AD3">
        <w:rPr>
          <w:snapToGrid w:val="0"/>
        </w:rPr>
        <w:t xml:space="preserve">Sections </w:t>
      </w:r>
      <w:r>
        <w:rPr>
          <w:snapToGrid w:val="0"/>
        </w:rPr>
        <w:t>2</w:t>
      </w:r>
      <w:r w:rsidRPr="005E7AD3">
        <w:rPr>
          <w:snapToGrid w:val="0"/>
        </w:rPr>
        <w:t xml:space="preserve"> and </w:t>
      </w:r>
      <w:r>
        <w:rPr>
          <w:snapToGrid w:val="0"/>
        </w:rPr>
        <w:t>3</w:t>
      </w:r>
      <w:r w:rsidRPr="005E7AD3">
        <w:rPr>
          <w:snapToGrid w:val="0"/>
        </w:rPr>
        <w:t xml:space="preserve"> amend paragraphs B.12.5.5.b and B.12.6.5.b of the Principal Determination which </w:t>
      </w:r>
      <w:r>
        <w:rPr>
          <w:snapToGrid w:val="0"/>
        </w:rPr>
        <w:t>specify where a member must be posted, or perform duty with,</w:t>
      </w:r>
      <w:r w:rsidRPr="005E7AD3">
        <w:rPr>
          <w:snapToGrid w:val="0"/>
        </w:rPr>
        <w:t xml:space="preserve"> in order to be eligible for Special Forces disability allowance. The amendment</w:t>
      </w:r>
      <w:r>
        <w:rPr>
          <w:snapToGrid w:val="0"/>
        </w:rPr>
        <w:t xml:space="preserve"> expands the list of units to which Combat Controllers and Combat Control Officers may be posted, as part of the eligibility conditions for the allowance. </w:t>
      </w:r>
      <w:r w:rsidRPr="00E1456F">
        <w:rPr>
          <w:snapToGrid w:val="0"/>
        </w:rPr>
        <w:t xml:space="preserve">Changes to the way capability are deployed and other administrative changes mean that now Combat Controllers and Combat Control Officers who are liable to support Special Operations Command activities may be posted to 4 Squadron, Air Force; Australian Defence Force School of Special Operations; Australian Defence Force Parachuting School; Special Air Service Regiment; 1st Commando Regiment or 2nd Commando Regiment.  These personnel </w:t>
      </w:r>
      <w:r>
        <w:rPr>
          <w:snapToGrid w:val="0"/>
        </w:rPr>
        <w:t>are</w:t>
      </w:r>
      <w:r w:rsidRPr="00E1456F">
        <w:rPr>
          <w:snapToGrid w:val="0"/>
        </w:rPr>
        <w:t xml:space="preserve"> included as eligible for the same allowance rate currently provided to </w:t>
      </w:r>
      <w:r>
        <w:rPr>
          <w:snapToGrid w:val="0"/>
        </w:rPr>
        <w:br/>
        <w:t xml:space="preserve">eligible </w:t>
      </w:r>
      <w:r w:rsidRPr="00E1456F">
        <w:rPr>
          <w:snapToGrid w:val="0"/>
        </w:rPr>
        <w:t>4 Squadron personnel</w:t>
      </w:r>
      <w:r w:rsidRPr="005E7AD3">
        <w:rPr>
          <w:snapToGrid w:val="0"/>
        </w:rPr>
        <w:t>.</w:t>
      </w:r>
    </w:p>
    <w:p w:rsidR="0093652C" w:rsidRDefault="0093652C" w:rsidP="0093652C">
      <w:pPr>
        <w:pStyle w:val="BlockText-Plain"/>
        <w:rPr>
          <w:snapToGrid w:val="0"/>
        </w:rPr>
      </w:pPr>
    </w:p>
    <w:p w:rsidR="0093652C" w:rsidRDefault="0093652C" w:rsidP="0093652C">
      <w:pPr>
        <w:pStyle w:val="BlockText-Plain"/>
        <w:jc w:val="right"/>
      </w:pPr>
      <w:r>
        <w:rPr>
          <w:b/>
        </w:rPr>
        <w:t>Authority:</w:t>
      </w:r>
      <w:r>
        <w:t xml:space="preserve">  Section 58H of the </w:t>
      </w:r>
      <w:r>
        <w:br/>
      </w:r>
      <w:r>
        <w:rPr>
          <w:i/>
        </w:rPr>
        <w:t>Defence Act 1903</w:t>
      </w:r>
    </w:p>
    <w:p w:rsidR="0093652C" w:rsidRDefault="0093652C" w:rsidP="0093652C"/>
    <w:p w:rsidR="005122DE" w:rsidRDefault="0093652C">
      <w:bookmarkStart w:id="0" w:name="_GoBack"/>
      <w:bookmarkEnd w:id="0"/>
    </w:p>
    <w:sectPr w:rsidR="005122DE" w:rsidSect="003E208D">
      <w:headerReference w:type="default" r:id="rId4"/>
      <w:footerReference w:type="default" r:id="rId5"/>
      <w:headerReference w:type="first" r:id="rId6"/>
      <w:footerReference w:type="first" r:id="rId7"/>
      <w:pgSz w:w="11906" w:h="16838" w:code="9"/>
      <w:pgMar w:top="1134" w:right="1134" w:bottom="992"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8C1" w:rsidRDefault="0093652C">
    <w:pPr>
      <w:pStyle w:val="Footer"/>
      <w:ind w:left="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8C1" w:rsidRDefault="0093652C">
    <w:pPr>
      <w:pStyle w:val="Footer"/>
      <w:ind w:left="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8C1" w:rsidRDefault="0093652C"/>
  <w:p w:rsidR="008348C1" w:rsidRDefault="0093652C">
    <w:pPr>
      <w:tabs>
        <w:tab w:val="right" w:pos="2410"/>
      </w:tabs>
      <w:ind w:left="2835" w:hanging="2835"/>
    </w:pPr>
  </w:p>
  <w:p w:rsidR="008348C1" w:rsidRDefault="0093652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8C1" w:rsidRDefault="0093652C"/>
  <w:p w:rsidR="008348C1" w:rsidRDefault="009365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52C"/>
    <w:rsid w:val="00423D9A"/>
    <w:rsid w:val="0093652C"/>
    <w:rsid w:val="00D6746C"/>
    <w:rsid w:val="00F10A84"/>
    <w:rsid w:val="00FD15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91107-32F6-45AB-86F2-C4BA21F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52C"/>
    <w:pPr>
      <w:keepLines/>
      <w:spacing w:after="0" w:line="240" w:lineRule="auto"/>
    </w:pPr>
    <w:rPr>
      <w:rFonts w:ascii="Arial" w:eastAsia="Times New Roman" w:hAnsi="Arial" w:cs="Times New Roman"/>
      <w:szCs w:val="20"/>
      <w:lang w:eastAsia="en-AU"/>
    </w:rPr>
  </w:style>
  <w:style w:type="paragraph" w:styleId="Heading1">
    <w:name w:val="heading 1"/>
    <w:aliases w:val="Document/Determination Title"/>
    <w:basedOn w:val="Normal"/>
    <w:next w:val="Normal"/>
    <w:link w:val="Heading1Char"/>
    <w:qFormat/>
    <w:rsid w:val="0093652C"/>
    <w:pPr>
      <w:keepLines w:val="0"/>
      <w:widowControl w:val="0"/>
      <w:spacing w:after="240"/>
      <w:outlineLvl w:val="0"/>
    </w:pPr>
    <w:rPr>
      <w:b/>
      <w:sz w:val="36"/>
    </w:rPr>
  </w:style>
  <w:style w:type="paragraph" w:styleId="Heading2">
    <w:name w:val="heading 2"/>
    <w:aliases w:val="Chapter Title"/>
    <w:basedOn w:val="Normal"/>
    <w:next w:val="Normal"/>
    <w:link w:val="Heading2Char"/>
    <w:qFormat/>
    <w:rsid w:val="0093652C"/>
    <w:pPr>
      <w:keepNext/>
      <w:shd w:val="clear" w:color="FFFF00" w:fill="auto"/>
      <w:spacing w:after="240"/>
      <w:outlineLvl w:val="1"/>
    </w:pPr>
    <w:rPr>
      <w:b/>
      <w:color w:val="00008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Determination Title Char"/>
    <w:basedOn w:val="DefaultParagraphFont"/>
    <w:link w:val="Heading1"/>
    <w:rsid w:val="0093652C"/>
    <w:rPr>
      <w:rFonts w:ascii="Arial" w:eastAsia="Times New Roman" w:hAnsi="Arial" w:cs="Times New Roman"/>
      <w:b/>
      <w:sz w:val="36"/>
      <w:szCs w:val="20"/>
      <w:lang w:eastAsia="en-AU"/>
    </w:rPr>
  </w:style>
  <w:style w:type="character" w:customStyle="1" w:styleId="Heading2Char">
    <w:name w:val="Heading 2 Char"/>
    <w:aliases w:val="Chapter Title Char"/>
    <w:basedOn w:val="DefaultParagraphFont"/>
    <w:link w:val="Heading2"/>
    <w:rsid w:val="0093652C"/>
    <w:rPr>
      <w:rFonts w:ascii="Arial" w:eastAsia="Times New Roman" w:hAnsi="Arial" w:cs="Times New Roman"/>
      <w:b/>
      <w:color w:val="000080"/>
      <w:sz w:val="30"/>
      <w:szCs w:val="20"/>
      <w:shd w:val="clear" w:color="FFFF00" w:fill="auto"/>
      <w:lang w:eastAsia="en-AU"/>
    </w:rPr>
  </w:style>
  <w:style w:type="paragraph" w:customStyle="1" w:styleId="BlockText-Plain">
    <w:name w:val="Block Text- Plain"/>
    <w:basedOn w:val="Normal"/>
    <w:link w:val="BlockText-PlainChar"/>
    <w:rsid w:val="0093652C"/>
    <w:pPr>
      <w:keepLines w:val="0"/>
      <w:spacing w:after="200"/>
    </w:pPr>
    <w:rPr>
      <w:sz w:val="20"/>
    </w:rPr>
  </w:style>
  <w:style w:type="paragraph" w:styleId="Footer">
    <w:name w:val="footer"/>
    <w:basedOn w:val="Normal"/>
    <w:link w:val="FooterChar"/>
    <w:rsid w:val="0093652C"/>
    <w:pPr>
      <w:tabs>
        <w:tab w:val="center" w:pos="4395"/>
        <w:tab w:val="right" w:pos="8931"/>
      </w:tabs>
      <w:ind w:left="-425"/>
    </w:pPr>
    <w:rPr>
      <w:sz w:val="18"/>
    </w:rPr>
  </w:style>
  <w:style w:type="character" w:customStyle="1" w:styleId="FooterChar">
    <w:name w:val="Footer Char"/>
    <w:basedOn w:val="DefaultParagraphFont"/>
    <w:link w:val="Footer"/>
    <w:rsid w:val="0093652C"/>
    <w:rPr>
      <w:rFonts w:ascii="Arial" w:eastAsia="Times New Roman" w:hAnsi="Arial" w:cs="Times New Roman"/>
      <w:sz w:val="18"/>
      <w:szCs w:val="20"/>
      <w:lang w:eastAsia="en-AU"/>
    </w:rPr>
  </w:style>
  <w:style w:type="character" w:customStyle="1" w:styleId="BlockText-PlainChar">
    <w:name w:val="Block Text- Plain Char"/>
    <w:basedOn w:val="DefaultParagraphFont"/>
    <w:link w:val="BlockText-Plain"/>
    <w:rsid w:val="0093652C"/>
    <w:rPr>
      <w:rFonts w:ascii="Arial" w:eastAsia="Times New Roman"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Urbani, Karen MS</dc:creator>
  <cp:keywords/>
  <dc:description/>
  <cp:lastModifiedBy>Urbani, Karen MS</cp:lastModifiedBy>
  <cp:revision>1</cp:revision>
  <dcterms:created xsi:type="dcterms:W3CDTF">2021-03-22T23:08:00Z</dcterms:created>
  <dcterms:modified xsi:type="dcterms:W3CDTF">2021-03-22T23:08:00Z</dcterms:modified>
</cp:coreProperties>
</file>