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BD7" w:rsidRDefault="00897BD7" w:rsidP="00897BD7">
      <w:pPr>
        <w:pStyle w:val="Heading1"/>
        <w:keepNext/>
        <w:keepLines/>
      </w:pPr>
      <w:r>
        <w:t>EXPLANATORY STATEMENT</w:t>
      </w:r>
    </w:p>
    <w:p w:rsidR="00897BD7" w:rsidRPr="002B30E0" w:rsidRDefault="00897BD7" w:rsidP="00897BD7">
      <w:pPr>
        <w:pStyle w:val="Heading2"/>
      </w:pPr>
      <w:r>
        <w:t xml:space="preserve">Defence Force Remuneration Tribunal No. </w:t>
      </w:r>
      <w:r w:rsidRPr="00897BD7">
        <w:rPr>
          <w:color w:val="002060"/>
        </w:rPr>
        <w:t>2</w:t>
      </w:r>
      <w:r w:rsidRPr="00897BD7">
        <w:rPr>
          <w:color w:val="002060"/>
        </w:rPr>
        <w:t xml:space="preserve"> </w:t>
      </w:r>
      <w:r>
        <w:t>of 2019, Navy Retention Incentive Payment</w:t>
      </w:r>
    </w:p>
    <w:p w:rsidR="00897BD7" w:rsidRDefault="00897BD7" w:rsidP="00897BD7">
      <w:pPr>
        <w:pStyle w:val="BlockText-Plain"/>
        <w:tabs>
          <w:tab w:val="left" w:pos="7380"/>
        </w:tabs>
      </w:pPr>
      <w:r w:rsidRPr="00897BD7">
        <w:rPr>
          <w:rFonts w:cs="Arial"/>
        </w:rPr>
        <w:t xml:space="preserve">This Determination amends Defence Force Remuneration Tribunal (DFRT) Determination No. 11 of 2013, </w:t>
      </w:r>
      <w:r w:rsidRPr="00897BD7">
        <w:rPr>
          <w:rFonts w:cs="Arial"/>
          <w:i/>
        </w:rPr>
        <w:t>ADF Allowances</w:t>
      </w:r>
      <w:r w:rsidRPr="00897BD7">
        <w:rPr>
          <w:rFonts w:cs="Arial"/>
        </w:rPr>
        <w:t xml:space="preserve"> (the Principal Determination), made under section 58H of the </w:t>
      </w:r>
      <w:r w:rsidRPr="00897BD7">
        <w:rPr>
          <w:rFonts w:cs="Arial"/>
          <w:i/>
        </w:rPr>
        <w:t>Defence Act 1903</w:t>
      </w:r>
      <w:r w:rsidRPr="00897BD7">
        <w:rPr>
          <w:rFonts w:cs="Arial"/>
        </w:rPr>
        <w:t xml:space="preserve"> (the </w:t>
      </w:r>
      <w:r w:rsidRPr="002B30E0">
        <w:rPr>
          <w:rFonts w:cs="Arial"/>
        </w:rPr>
        <w:t>Act)</w:t>
      </w:r>
      <w:r w:rsidRPr="002B30E0">
        <w:t xml:space="preserve"> </w:t>
      </w:r>
      <w:r w:rsidRPr="000D4FC9">
        <w:t xml:space="preserve">and in accordance with subsection 33(3) of the </w:t>
      </w:r>
      <w:r w:rsidRPr="000D4FC9">
        <w:rPr>
          <w:i/>
        </w:rPr>
        <w:t>Acts Interpretation Act 1901</w:t>
      </w:r>
      <w:r w:rsidRPr="000D4FC9">
        <w:t xml:space="preserve"> (AIA Act)</w:t>
      </w:r>
      <w:r w:rsidRPr="002B30E0">
        <w:rPr>
          <w:rFonts w:cs="Arial"/>
        </w:rPr>
        <w:t xml:space="preserve">. The Principal Determination sets out provisions dealing with </w:t>
      </w:r>
      <w:r>
        <w:rPr>
          <w:rFonts w:cs="Arial"/>
        </w:rPr>
        <w:t>allowances</w:t>
      </w:r>
      <w:r w:rsidRPr="002B30E0">
        <w:rPr>
          <w:rFonts w:cs="Arial"/>
        </w:rPr>
        <w:t xml:space="preserve"> for members of the Australian Defence Force (ADF).</w:t>
      </w:r>
      <w:r>
        <w:rPr>
          <w:rFonts w:cs="Arial"/>
        </w:rPr>
        <w:t xml:space="preserve"> </w:t>
      </w:r>
    </w:p>
    <w:p w:rsidR="00897BD7" w:rsidRPr="006E42D0" w:rsidRDefault="00897BD7" w:rsidP="00897BD7">
      <w:pPr>
        <w:pStyle w:val="BlockText-Plain"/>
        <w:rPr>
          <w:rFonts w:cs="Arial"/>
        </w:rPr>
      </w:pPr>
      <w:r>
        <w:t>The purpose of this</w:t>
      </w:r>
      <w:r w:rsidRPr="006E42D0">
        <w:rPr>
          <w:rFonts w:cs="Arial"/>
        </w:rPr>
        <w:t xml:space="preserve"> Determination is to provide a payment to select Navy members as a retention incentive.</w:t>
      </w:r>
      <w:r>
        <w:rPr>
          <w:rFonts w:cs="Arial"/>
        </w:rPr>
        <w:t xml:space="preserve"> The intent is to increase the median length of service of personnel serving in the middle-management ranks by a further two years.</w:t>
      </w:r>
    </w:p>
    <w:p w:rsidR="00897BD7" w:rsidRDefault="00897BD7" w:rsidP="00897BD7">
      <w:pPr>
        <w:pStyle w:val="BlockText-Plain"/>
        <w:rPr>
          <w:snapToGrid w:val="0"/>
        </w:rPr>
      </w:pPr>
      <w:r>
        <w:rPr>
          <w:snapToGrid w:val="0"/>
        </w:rPr>
        <w:t>Section 1 of this Determination sets out the manner in which this Determination may be cited.</w:t>
      </w:r>
    </w:p>
    <w:p w:rsidR="00897BD7" w:rsidRDefault="00897BD7" w:rsidP="00897BD7">
      <w:pPr>
        <w:pStyle w:val="BlockText-Plain"/>
        <w:rPr>
          <w:snapToGrid w:val="0"/>
        </w:rPr>
      </w:pPr>
      <w:r>
        <w:rPr>
          <w:snapToGrid w:val="0"/>
        </w:rPr>
        <w:t>Section</w:t>
      </w:r>
      <w:r w:rsidRPr="00AB19FC">
        <w:rPr>
          <w:snapToGrid w:val="0"/>
        </w:rPr>
        <w:t xml:space="preserve"> 2 of this Determination provides that the Determi</w:t>
      </w:r>
      <w:r>
        <w:rPr>
          <w:snapToGrid w:val="0"/>
        </w:rPr>
        <w:t>nation commences on 1 July 2019.</w:t>
      </w:r>
    </w:p>
    <w:p w:rsidR="00897BD7" w:rsidRPr="00AB19FC" w:rsidRDefault="00897BD7" w:rsidP="00897BD7">
      <w:pPr>
        <w:pStyle w:val="BlockText-Plain"/>
      </w:pPr>
      <w:r>
        <w:rPr>
          <w:snapToGrid w:val="0"/>
        </w:rPr>
        <w:t xml:space="preserve">Section 3 provides that this instrument has authority under section 58H of the </w:t>
      </w:r>
      <w:r w:rsidRPr="00F33564">
        <w:rPr>
          <w:i/>
          <w:snapToGrid w:val="0"/>
        </w:rPr>
        <w:t>Defence Act 1903</w:t>
      </w:r>
      <w:r>
        <w:rPr>
          <w:snapToGrid w:val="0"/>
        </w:rPr>
        <w:t>.</w:t>
      </w:r>
    </w:p>
    <w:p w:rsidR="00897BD7" w:rsidRPr="006F1C77" w:rsidRDefault="00897BD7" w:rsidP="00897BD7">
      <w:pPr>
        <w:pStyle w:val="BlockText-Plain"/>
        <w:rPr>
          <w:snapToGrid w:val="0"/>
        </w:rPr>
      </w:pPr>
      <w:r w:rsidRPr="006F1C77">
        <w:rPr>
          <w:snapToGrid w:val="0"/>
        </w:rPr>
        <w:t>Section 4 provides that each instrument that is specified in a Schedule to this instrument is amended or</w:t>
      </w:r>
      <w:r>
        <w:rPr>
          <w:snapToGrid w:val="0"/>
        </w:rPr>
        <w:t xml:space="preserve"> </w:t>
      </w:r>
      <w:r w:rsidRPr="006F1C77">
        <w:rPr>
          <w:snapToGrid w:val="0"/>
        </w:rPr>
        <w:t>repealed as set out in the applicable items in the Schedule concerned, and any other item in a Schedule</w:t>
      </w:r>
      <w:r>
        <w:rPr>
          <w:snapToGrid w:val="0"/>
        </w:rPr>
        <w:t xml:space="preserve"> </w:t>
      </w:r>
      <w:r w:rsidRPr="006F1C77">
        <w:rPr>
          <w:snapToGrid w:val="0"/>
        </w:rPr>
        <w:t>to this instrument has effect according to its terms.</w:t>
      </w:r>
    </w:p>
    <w:p w:rsidR="00897BD7" w:rsidRPr="00710306" w:rsidRDefault="00897BD7" w:rsidP="00897BD7">
      <w:pPr>
        <w:pStyle w:val="BlockText-Plain"/>
        <w:rPr>
          <w:snapToGrid w:val="0"/>
          <w:u w:val="single"/>
        </w:rPr>
      </w:pPr>
      <w:r>
        <w:rPr>
          <w:snapToGrid w:val="0"/>
          <w:u w:val="single"/>
        </w:rPr>
        <w:t>Schedule 1 sets out amendments to DFRT Determination No. 11 of 2013</w:t>
      </w:r>
    </w:p>
    <w:p w:rsidR="00897BD7" w:rsidRDefault="00897BD7" w:rsidP="00897BD7">
      <w:pPr>
        <w:pStyle w:val="BlockText-Plain"/>
        <w:rPr>
          <w:snapToGrid w:val="0"/>
        </w:rPr>
      </w:pPr>
      <w:r>
        <w:rPr>
          <w:snapToGrid w:val="0"/>
        </w:rPr>
        <w:t>Section 1 amends section A.1.4 of the Principal Determination, which provides the Determination's list of contents. Division D.2: Navy retention incentive payment is added to Part D of the list of contents, consequential upon the Division being added by section 2 of this Determination.</w:t>
      </w:r>
    </w:p>
    <w:p w:rsidR="00897BD7" w:rsidRDefault="00897BD7" w:rsidP="00897BD7">
      <w:pPr>
        <w:pStyle w:val="BlockText-Plain"/>
        <w:rPr>
          <w:snapToGrid w:val="0"/>
        </w:rPr>
      </w:pPr>
      <w:r>
        <w:rPr>
          <w:snapToGrid w:val="0"/>
        </w:rPr>
        <w:t>Section 2 adds Division D.2 to the Principal Determination, which provides an incentive payment to select Navy ranks with the intention of delaying their separation from the ADF. The Division provides the following.</w:t>
      </w:r>
    </w:p>
    <w:p w:rsidR="00897BD7" w:rsidRPr="00FB04B9" w:rsidRDefault="00897BD7" w:rsidP="00897BD7">
      <w:pPr>
        <w:pStyle w:val="BlockText-Plain"/>
        <w:numPr>
          <w:ilvl w:val="0"/>
          <w:numId w:val="1"/>
        </w:numPr>
        <w:rPr>
          <w:rFonts w:cs="Arial"/>
        </w:rPr>
      </w:pPr>
      <w:r w:rsidRPr="00FB04B9">
        <w:rPr>
          <w:rFonts w:cs="Arial"/>
        </w:rPr>
        <w:t xml:space="preserve">Section D.2.2 provides the conditions of eligibility for payment of the retention incentive before 30 June 2020. Subsection D.2.2.1 makes clear that this section applies to a member who reaches their service milestone (set out in section D.2.4) between 1 July 2019 and 30 June 2020. </w:t>
      </w:r>
    </w:p>
    <w:p w:rsidR="00897BD7" w:rsidRPr="00FB04B9" w:rsidRDefault="00897BD7" w:rsidP="00897BD7">
      <w:pPr>
        <w:pStyle w:val="BlockText-Plain"/>
        <w:numPr>
          <w:ilvl w:val="0"/>
          <w:numId w:val="1"/>
        </w:numPr>
        <w:rPr>
          <w:rFonts w:cs="Arial"/>
        </w:rPr>
      </w:pPr>
      <w:r w:rsidRPr="00FB04B9">
        <w:rPr>
          <w:rFonts w:cs="Arial"/>
        </w:rPr>
        <w:t xml:space="preserve">Subsection D.2.2.2 sets out the eligibility criteria for payment of $20,000. When all of the conditions are met, the member may be paid $20,000. The conditions are: is a member of the Permanent Force; holds the rank of Lieutenant Commander, Lieutenant, Sub Lieutenant, Petty Officer, Leading Seaman or Able Seaman; met their individual readiness requirements for ten out of 12 months preceding the payment; and completed their mandatory annual awareness training in the 12 months preceding the payment. This conditions have been prescribed so as to adequately target the benefit for members who are in the middle officer and sailor ranks (which are suffering significant workforce shortfalls), are up to date with their compliance requirements and deployable. </w:t>
      </w:r>
    </w:p>
    <w:p w:rsidR="00897BD7" w:rsidRPr="00FB04B9" w:rsidRDefault="00897BD7" w:rsidP="00897BD7">
      <w:pPr>
        <w:pStyle w:val="BlockText-Plain"/>
        <w:numPr>
          <w:ilvl w:val="0"/>
          <w:numId w:val="1"/>
        </w:numPr>
        <w:rPr>
          <w:rFonts w:cs="Arial"/>
        </w:rPr>
      </w:pPr>
      <w:r w:rsidRPr="00FB04B9">
        <w:rPr>
          <w:rFonts w:cs="Arial"/>
        </w:rPr>
        <w:t>Subsection D.2.2.3 sets out the conditions under which a member is not eligible for the retention incentive payment. Members who have applied to the CDF to transfer to another arm of the Defence Force under section 15 of the Defence Regulation 2016, have expressed an intention to leave Navy and not assist in remediating Navy’s middle rank workforce shortfalls. The same applies to member who have applied to reduce their period of service under section 18 of the Defence Regulation 2016. Paragraphs 2.c, 2.d and 2.e set out the circumstances which allude to a member’s demonstrated behaviours and actions which are not in accordance with the values and behaviours expected by Chief of Navy, and therefore should not be eligible for the incentive to stay in Navy.</w:t>
      </w:r>
    </w:p>
    <w:p w:rsidR="00897BD7" w:rsidRPr="00FB04B9" w:rsidRDefault="00897BD7" w:rsidP="00897BD7">
      <w:pPr>
        <w:pStyle w:val="BlockText-Plain"/>
        <w:numPr>
          <w:ilvl w:val="0"/>
          <w:numId w:val="1"/>
        </w:numPr>
        <w:rPr>
          <w:rFonts w:cs="Arial"/>
        </w:rPr>
      </w:pPr>
      <w:r w:rsidRPr="00FB04B9">
        <w:rPr>
          <w:rFonts w:cs="Arial"/>
        </w:rPr>
        <w:t xml:space="preserve">Subsection D.2.2.4 provides a discretionary power for CDF. This power enables CDF to decide that the rank requirement (set out in paragraph 2.b) and the individual readiness requirement (set out in 2.c) are not required of a member, if the member’s circumstances have precluded them </w:t>
      </w:r>
      <w:r w:rsidRPr="00FB04B9">
        <w:rPr>
          <w:rFonts w:cs="Arial"/>
        </w:rPr>
        <w:lastRenderedPageBreak/>
        <w:t xml:space="preserve">from meeting these requirements in the 12 month timeframe. The circumstances must be reasonable. </w:t>
      </w:r>
    </w:p>
    <w:p w:rsidR="00897BD7" w:rsidRPr="00FB04B9" w:rsidRDefault="00897BD7" w:rsidP="00897BD7">
      <w:pPr>
        <w:pStyle w:val="BlockText-Plain"/>
        <w:numPr>
          <w:ilvl w:val="0"/>
          <w:numId w:val="1"/>
        </w:numPr>
        <w:rPr>
          <w:rFonts w:cs="Arial"/>
        </w:rPr>
      </w:pPr>
      <w:r w:rsidRPr="00FB04B9">
        <w:rPr>
          <w:rFonts w:cs="Arial"/>
        </w:rPr>
        <w:t>Section D.2.3 provides the conditions of eligibility for payment of the retention incentive after 1 July 2020. Subsection D.2.3.1 makes clear that this section applies to a member who meets a service milestone (set out in Section D.2.4) on or after 1 July 2020.</w:t>
      </w:r>
    </w:p>
    <w:p w:rsidR="00897BD7" w:rsidRPr="00FB04B9" w:rsidRDefault="00897BD7" w:rsidP="00897BD7">
      <w:pPr>
        <w:pStyle w:val="BlockText-Plain"/>
        <w:numPr>
          <w:ilvl w:val="0"/>
          <w:numId w:val="1"/>
        </w:numPr>
        <w:rPr>
          <w:rFonts w:cs="Arial"/>
        </w:rPr>
      </w:pPr>
      <w:r w:rsidRPr="00FB04B9">
        <w:rPr>
          <w:rFonts w:cs="Arial"/>
        </w:rPr>
        <w:t xml:space="preserve">Subsection D.2.3.2 sets out the eligibility criteria for payment of $20,000. Only when all of the conditions set out in this subsection and the conditions set out in subsections 3 and 5 of this section, will a member have met the conditions and be eligible for payment. An eligible member must have completed their relevant initial minimum period of service, and are not under a return of service obligation. The member must also have reached one of the service milestones specified in section D.2.4, and when that is reached, the member must also meet each of the conditions listed in subsection 3 (i.e. is a member of the Permanent Force, hold one of the ranks listed in subparagraphs </w:t>
      </w:r>
      <w:proofErr w:type="spellStart"/>
      <w:r w:rsidRPr="00FB04B9">
        <w:rPr>
          <w:rFonts w:cs="Arial"/>
        </w:rPr>
        <w:t>i</w:t>
      </w:r>
      <w:proofErr w:type="spellEnd"/>
      <w:r w:rsidRPr="00FB04B9">
        <w:rPr>
          <w:rFonts w:cs="Arial"/>
        </w:rPr>
        <w:t>. to vi., met their relevant individual readiness requirements in ten of the 12 months preceding the service milestone, and completed their mandatory annual awareness training in the 12 months preceding the service milestone).</w:t>
      </w:r>
    </w:p>
    <w:p w:rsidR="00897BD7" w:rsidRPr="00FB04B9" w:rsidRDefault="00897BD7" w:rsidP="00897BD7">
      <w:pPr>
        <w:pStyle w:val="BlockText-Plain"/>
        <w:numPr>
          <w:ilvl w:val="0"/>
          <w:numId w:val="1"/>
        </w:numPr>
        <w:rPr>
          <w:rFonts w:cs="Arial"/>
        </w:rPr>
      </w:pPr>
      <w:r w:rsidRPr="00FB04B9">
        <w:rPr>
          <w:rFonts w:cs="Arial"/>
        </w:rPr>
        <w:t xml:space="preserve">Subsection D.2.3.4 provides a discretionary power for CDF. This power enables CDF to decide that the individual readiness requirement (set out in paragraph 3.c) and the mandatory annual awareness training requirement (set out in paragraph 3.d) are not required of a member, if the member’s circumstances have precluded them from meeting these requirements in the 12 month timeframe. The circumstances must be reasonable. </w:t>
      </w:r>
    </w:p>
    <w:p w:rsidR="00897BD7" w:rsidRPr="00FB04B9" w:rsidRDefault="00897BD7" w:rsidP="00897BD7">
      <w:pPr>
        <w:pStyle w:val="BlockText-Plain"/>
        <w:numPr>
          <w:ilvl w:val="0"/>
          <w:numId w:val="1"/>
        </w:numPr>
        <w:rPr>
          <w:rFonts w:cs="Arial"/>
        </w:rPr>
      </w:pPr>
      <w:r w:rsidRPr="00FB04B9">
        <w:rPr>
          <w:rFonts w:cs="Arial"/>
        </w:rPr>
        <w:t>Subsection D.2.3.5 sets out the conditions under which a member is not eligible for the retention incentive payment. Members who, in the 12 months preceding a service milestone, have applied to the CDF to transfer to another arm of the Defence Force under section 15 of the Defence Regulation 2016, have expressed an intention to leave Navy and not assist in remediating Navy’s middle rank workforce shortfalls. The same applies to member who have applied to reduce their period of service under section 18 of the Defence Regulation 2016. Paragraphs 5.c, 5.d and 5.e set out the circumstances which allude to a member’s demonstrated behaviours and actions which are not in accordance with the values and behaviours expected by Chief of Navy, and therefore should not be eligible for the incentive to stay in Navy.</w:t>
      </w:r>
    </w:p>
    <w:p w:rsidR="00897BD7" w:rsidRPr="00FB04B9" w:rsidRDefault="00897BD7" w:rsidP="00897BD7">
      <w:pPr>
        <w:pStyle w:val="BlockText-Plain"/>
        <w:numPr>
          <w:ilvl w:val="0"/>
          <w:numId w:val="1"/>
        </w:numPr>
        <w:rPr>
          <w:rFonts w:cs="Arial"/>
        </w:rPr>
      </w:pPr>
      <w:r w:rsidRPr="00FB04B9">
        <w:rPr>
          <w:rFonts w:cs="Arial"/>
        </w:rPr>
        <w:t>Section D.2.4 sets out the service milestones which underpin the aforementioned eligibility criteria under sections D.2.2 and D.2.3. The Service milestones prescribed in paragraph a. apply to Aviation Warfare Officers and Rotary Wing Pilots, while the service milestone prescribed in paragraph b. apply to all other employment categories in Navy. An administrative note has been included to make clear that a member may be eligible to receive more than one payment over the life of this provision.</w:t>
      </w:r>
    </w:p>
    <w:p w:rsidR="00897BD7" w:rsidRPr="00FB04B9" w:rsidRDefault="00897BD7" w:rsidP="00897BD7">
      <w:pPr>
        <w:pStyle w:val="BlockText-Plain"/>
        <w:numPr>
          <w:ilvl w:val="0"/>
          <w:numId w:val="1"/>
        </w:numPr>
        <w:rPr>
          <w:rFonts w:cs="Arial"/>
        </w:rPr>
      </w:pPr>
      <w:r w:rsidRPr="00FB04B9">
        <w:rPr>
          <w:rFonts w:cs="Arial"/>
        </w:rPr>
        <w:t>Section D.2.5 sets out the parameters of what is meant by the term ‘accrued Service’, which is used throughout this Division. Subsection D.2.5.1 states that accrued service is the sum of a period of continuous full-time service (as defined in Part A of the Principal Determination) and a period of prior Reserve service (as defined in Part A of the Principal Determination). Paragraph b. sets out which aspects of a member’s prior Reserve service may count as accrued service. Subsection D.2.5.2 makes express which periods of service which do not count towards a member’s accrued service.  </w:t>
      </w:r>
    </w:p>
    <w:p w:rsidR="00897BD7" w:rsidRPr="00FB04B9" w:rsidRDefault="00897BD7" w:rsidP="00897BD7">
      <w:pPr>
        <w:pStyle w:val="BlockText-Plain"/>
        <w:numPr>
          <w:ilvl w:val="0"/>
          <w:numId w:val="1"/>
        </w:numPr>
        <w:rPr>
          <w:rFonts w:cs="Arial"/>
        </w:rPr>
      </w:pPr>
      <w:r w:rsidRPr="00FB04B9">
        <w:rPr>
          <w:rFonts w:cs="Arial"/>
        </w:rPr>
        <w:t>Subsection D.2.5.3 provides a discretionary power for CDF. This power enables CDF to decide that a period which otherwise under paragraph 2.a would not count as accrued service, may count as accrued service as it is in Defence’s interest to do so.</w:t>
      </w:r>
    </w:p>
    <w:p w:rsidR="00897BD7" w:rsidRPr="00FB04B9" w:rsidRDefault="00897BD7" w:rsidP="00897BD7">
      <w:pPr>
        <w:pStyle w:val="BlockText-Plain"/>
        <w:numPr>
          <w:ilvl w:val="0"/>
          <w:numId w:val="1"/>
        </w:numPr>
        <w:rPr>
          <w:rFonts w:cs="Arial"/>
        </w:rPr>
      </w:pPr>
      <w:r w:rsidRPr="00FB04B9">
        <w:rPr>
          <w:rFonts w:cs="Arial"/>
        </w:rPr>
        <w:t xml:space="preserve">Section D.2.6 prescribes the circumstances under which payment of the retention incentive may not be paid. Firstly, if a member is undertaking a period of service in fulfilment of the submarine capability assurance payment under Division D.1 of the Principal Determination, or a bonus provided under Defence Determination 2016/19, Conditions of service, or has been paid either of those benefits in the preceding 12 months prior to the day they are eligible for the retention incentive, then the member is not eligible for the Navy retention incentive payment. Similarly, if a member is subject to a period of service for the retention benefit provided by the Military Superannuation and Benefits Act 1991 (as preserved), the member is not eligible for payment under Division D.2 of the Principal Determination. </w:t>
      </w:r>
    </w:p>
    <w:p w:rsidR="00897BD7" w:rsidRDefault="00897BD7" w:rsidP="00897BD7">
      <w:pPr>
        <w:pStyle w:val="BlockText-Plain"/>
        <w:numPr>
          <w:ilvl w:val="0"/>
          <w:numId w:val="1"/>
        </w:numPr>
        <w:rPr>
          <w:rFonts w:cs="Arial"/>
        </w:rPr>
      </w:pPr>
      <w:r w:rsidRPr="00FB04B9">
        <w:rPr>
          <w:rFonts w:cs="Arial"/>
        </w:rPr>
        <w:lastRenderedPageBreak/>
        <w:t>Section D.2.7 provides that Division D.2 ceases to have effect on 30 June 2024. This date has been chosen as it is five years from its implementation, and in this period Navy believes the benefit will have had sufficient effect in retaining the targeted workforce and enabled other non-financial incentives to have effect.</w:t>
      </w:r>
    </w:p>
    <w:p w:rsidR="00897BD7" w:rsidRPr="00564BB3" w:rsidRDefault="00897BD7" w:rsidP="00897BD7">
      <w:pPr>
        <w:pStyle w:val="BlockText-Plain"/>
        <w:rPr>
          <w:rFonts w:cs="Arial"/>
        </w:rPr>
      </w:pPr>
      <w:r>
        <w:rPr>
          <w:rFonts w:cs="Arial"/>
        </w:rPr>
        <w:t>Section 3</w:t>
      </w:r>
      <w:r w:rsidRPr="00564BB3">
        <w:rPr>
          <w:rFonts w:cs="Arial"/>
        </w:rPr>
        <w:t xml:space="preserve"> amends section D.1.12 so as to make clear that payment of submarine capability assurance payment may not permit payment of other allowances or payments provided under the Principal Determination. A cross reference is provided to Division D.2, Navy retention incentive payment.</w:t>
      </w:r>
    </w:p>
    <w:p w:rsidR="00897BD7" w:rsidRDefault="00897BD7" w:rsidP="00897BD7">
      <w:pPr>
        <w:pStyle w:val="BlockText-Plain"/>
        <w:rPr>
          <w:snapToGrid w:val="0"/>
        </w:rPr>
      </w:pPr>
      <w:r w:rsidRPr="001762A0">
        <w:rPr>
          <w:rFonts w:cs="Arial"/>
        </w:rPr>
        <w:t>Criteria are provided for the exercise of discretions under the Principal Determination, as amended by this Determination. Adverse decisions may be subject to inquiry under the ADF redress of grievance system. A person may make a complaint to the Defence Force Ombudsman.</w:t>
      </w:r>
      <w:r>
        <w:rPr>
          <w:rFonts w:cs="Arial"/>
          <w:color w:val="0000FF"/>
        </w:rPr>
        <w:t xml:space="preserve"> </w:t>
      </w:r>
    </w:p>
    <w:p w:rsidR="00897BD7" w:rsidRPr="00CA5BE0" w:rsidRDefault="00897BD7" w:rsidP="00897BD7">
      <w:pPr>
        <w:keepLines w:val="0"/>
        <w:autoSpaceDE w:val="0"/>
        <w:autoSpaceDN w:val="0"/>
        <w:adjustRightInd w:val="0"/>
        <w:rPr>
          <w:snapToGrid w:val="0"/>
          <w:sz w:val="20"/>
        </w:rPr>
      </w:pPr>
    </w:p>
    <w:p w:rsidR="00897BD7" w:rsidRDefault="00897BD7" w:rsidP="00897BD7">
      <w:pPr>
        <w:pStyle w:val="BlockText-Plain"/>
        <w:jc w:val="right"/>
      </w:pPr>
      <w:r>
        <w:rPr>
          <w:b/>
        </w:rPr>
        <w:t>Authority:</w:t>
      </w:r>
      <w:r>
        <w:t xml:space="preserve">  Section 58H of the </w:t>
      </w:r>
      <w:r>
        <w:br/>
      </w:r>
      <w:bookmarkStart w:id="0" w:name="_GoBack"/>
      <w:bookmarkEnd w:id="0"/>
      <w:r>
        <w:rPr>
          <w:i/>
        </w:rPr>
        <w:t>Defence Act 1903</w:t>
      </w:r>
    </w:p>
    <w:p w:rsidR="005B32E8" w:rsidRDefault="005B32E8" w:rsidP="00897BD7">
      <w:pPr>
        <w:pStyle w:val="BlockText-Plain"/>
      </w:pPr>
    </w:p>
    <w:sectPr w:rsidR="005B32E8" w:rsidSect="006F1A77">
      <w:pgSz w:w="11906" w:h="16838" w:code="9"/>
      <w:pgMar w:top="1134" w:right="1134" w:bottom="992"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E11D4"/>
    <w:multiLevelType w:val="hybridMultilevel"/>
    <w:tmpl w:val="FA08A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1" w:spinCount="100000" w:hashValue="OM7Bjje06w5G2qcKcWOQ0e0VipOI5383jYkW2//xKHqETh0St5EiNrt8w4iKBmTyPVNnTqMmTFF43J/PNZU5DQ==" w:saltValue="K3uj68vOg4khDqy1thSArA==" w:algorithmName="SHA-512"/>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D7"/>
    <w:rsid w:val="005B32E8"/>
    <w:rsid w:val="006F1A77"/>
    <w:rsid w:val="00897B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E812"/>
  <w15:chartTrackingRefBased/>
  <w15:docId w15:val="{93775ABB-3530-47B4-A4A0-BC9F6C52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BD7"/>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897BD7"/>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897BD7"/>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897BD7"/>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897BD7"/>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897BD7"/>
    <w:pPr>
      <w:keepLines w:val="0"/>
      <w:spacing w:after="200"/>
    </w:pPr>
    <w:rPr>
      <w:sz w:val="20"/>
    </w:rPr>
  </w:style>
  <w:style w:type="character" w:customStyle="1" w:styleId="BlockText-PlainChar">
    <w:name w:val="Block Text- Plain Char"/>
    <w:basedOn w:val="DefaultParagraphFont"/>
    <w:link w:val="BlockText-Plain"/>
    <w:rsid w:val="00897BD7"/>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FFEF6F03</Template>
  <TotalTime>2</TotalTime>
  <Pages>3</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 Karen MS</dc:creator>
  <cp:keywords/>
  <dc:description/>
  <cp:lastModifiedBy>Urbani, Karen MS</cp:lastModifiedBy>
  <cp:revision>1</cp:revision>
  <dcterms:created xsi:type="dcterms:W3CDTF">2019-05-06T05:35:00Z</dcterms:created>
  <dcterms:modified xsi:type="dcterms:W3CDTF">2019-05-06T05:37:00Z</dcterms:modified>
</cp:coreProperties>
</file>