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087" w:rsidRDefault="00550087" w:rsidP="00550087">
      <w:pPr>
        <w:pStyle w:val="Heading1"/>
        <w:keepNext/>
        <w:keepLines/>
      </w:pPr>
      <w:r>
        <w:t>EXPLANATORY STATEMENT</w:t>
      </w:r>
    </w:p>
    <w:p w:rsidR="00550087" w:rsidRPr="002B30E0" w:rsidRDefault="00550087" w:rsidP="00550087">
      <w:pPr>
        <w:pStyle w:val="Heading2"/>
      </w:pPr>
      <w:r w:rsidRPr="002B30E0">
        <w:t xml:space="preserve">Defence Force Remuneration Tribunal Determination </w:t>
      </w:r>
      <w:r>
        <w:br/>
      </w:r>
      <w:r w:rsidRPr="002B30E0">
        <w:t xml:space="preserve">No. </w:t>
      </w:r>
      <w:r>
        <w:t>2 of 2018</w:t>
      </w:r>
    </w:p>
    <w:p w:rsidR="00550087" w:rsidRPr="007609CF" w:rsidRDefault="00550087" w:rsidP="00550087">
      <w:pPr>
        <w:pStyle w:val="BlockText-Plain"/>
      </w:pPr>
      <w:r w:rsidRPr="007609CF">
        <w:rPr>
          <w:rFonts w:cs="Arial"/>
        </w:rPr>
        <w:t xml:space="preserve">This Determination amends Defence Force Remuneration Tribunal (DFRT) Determination No. 2 of 2017, </w:t>
      </w:r>
      <w:r w:rsidRPr="007609CF">
        <w:rPr>
          <w:rFonts w:cs="Arial"/>
          <w:i/>
        </w:rPr>
        <w:t>Salaries</w:t>
      </w:r>
      <w:r w:rsidRPr="007609CF">
        <w:rPr>
          <w:rFonts w:cs="Arial"/>
        </w:rPr>
        <w:t xml:space="preserve"> (the Principal Determination), made under section 58H of the </w:t>
      </w:r>
      <w:r w:rsidRPr="007609CF">
        <w:rPr>
          <w:rFonts w:cs="Arial"/>
          <w:i/>
        </w:rPr>
        <w:t>Defence Act 1903</w:t>
      </w:r>
      <w:r w:rsidRPr="007609CF">
        <w:rPr>
          <w:rFonts w:cs="Arial"/>
        </w:rPr>
        <w:t xml:space="preserve"> (the Act)</w:t>
      </w:r>
      <w:r w:rsidRPr="007609CF">
        <w:t xml:space="preserve"> and in accordance with subsection 33(3) of the </w:t>
      </w:r>
      <w:r w:rsidRPr="007609CF">
        <w:rPr>
          <w:i/>
        </w:rPr>
        <w:t>Acts Interpretation Act 1901</w:t>
      </w:r>
      <w:r w:rsidRPr="007609CF">
        <w:t xml:space="preserve"> (AIA Act)</w:t>
      </w:r>
      <w:r w:rsidRPr="007609CF">
        <w:rPr>
          <w:rFonts w:cs="Arial"/>
        </w:rPr>
        <w:t xml:space="preserve">. The Principal Determination sets out provisions dealing with salary for members of the Australian Defence Force (ADF). </w:t>
      </w:r>
    </w:p>
    <w:p w:rsidR="00550087" w:rsidRPr="00677AC2" w:rsidRDefault="00550087" w:rsidP="00550087">
      <w:pPr>
        <w:pStyle w:val="BlockText-Plain"/>
      </w:pPr>
      <w:r w:rsidRPr="00EE20F3">
        <w:t xml:space="preserve">The purpose of this amending Determination is to </w:t>
      </w:r>
      <w:r>
        <w:t xml:space="preserve">rename the engineer officer employment categories' </w:t>
      </w:r>
      <w:r w:rsidRPr="00677AC2">
        <w:t>classification descriptor, replacing 'Level 2' with 'Principal Engineer or Subordinate Materiel Governance Authority'.</w:t>
      </w:r>
    </w:p>
    <w:p w:rsidR="00550087" w:rsidRDefault="00550087" w:rsidP="00550087">
      <w:pPr>
        <w:pStyle w:val="BlockText-Plain"/>
      </w:pPr>
      <w:r w:rsidRPr="00677AC2">
        <w:t>In September 2017</w:t>
      </w:r>
      <w:r>
        <w:t>,</w:t>
      </w:r>
      <w:r w:rsidRPr="00677AC2">
        <w:t xml:space="preserve"> the new Defence Seaworthiness Technical Regulations Framework replaced the Navy Technical Regulation Framework. </w:t>
      </w:r>
      <w:r>
        <w:t>T</w:t>
      </w:r>
      <w:r w:rsidRPr="00677AC2">
        <w:t>he new framework refers to engineer officer employment categories at Level 2 as either a 'Principal Engineer' or a 'Subordinate Materiel Governance Authority'.</w:t>
      </w:r>
      <w:r w:rsidRPr="00E04004">
        <w:t xml:space="preserve"> </w:t>
      </w:r>
      <w:r>
        <w:t xml:space="preserve">This </w:t>
      </w:r>
      <w:r w:rsidRPr="00677AC2">
        <w:t>provide</w:t>
      </w:r>
      <w:r>
        <w:t>s</w:t>
      </w:r>
      <w:r w:rsidRPr="00677AC2">
        <w:t xml:space="preserve"> a better description and differentiation of engineer </w:t>
      </w:r>
      <w:r>
        <w:t xml:space="preserve">officers' roles. This Determination amends </w:t>
      </w:r>
      <w:r>
        <w:rPr>
          <w:snapToGrid w:val="0"/>
        </w:rPr>
        <w:t>Schedule B.2 Part 2 Pay grade 8 to reflect these changes.</w:t>
      </w:r>
    </w:p>
    <w:p w:rsidR="00550087" w:rsidRDefault="00550087" w:rsidP="00550087">
      <w:pPr>
        <w:pStyle w:val="BlockText-Plain"/>
        <w:rPr>
          <w:snapToGrid w:val="0"/>
        </w:rPr>
      </w:pPr>
      <w:proofErr w:type="gramStart"/>
      <w:r>
        <w:rPr>
          <w:snapToGrid w:val="0"/>
        </w:rPr>
        <w:t>Section 1 sets out the manner in which this Determination may be cited.</w:t>
      </w:r>
      <w:proofErr w:type="gramEnd"/>
    </w:p>
    <w:p w:rsidR="00550087" w:rsidRDefault="00550087" w:rsidP="00550087">
      <w:pPr>
        <w:pStyle w:val="BlockText-Plain"/>
        <w:rPr>
          <w:snapToGrid w:val="0"/>
        </w:rPr>
      </w:pPr>
      <w:r>
        <w:rPr>
          <w:snapToGrid w:val="0"/>
        </w:rPr>
        <w:t>Section</w:t>
      </w:r>
      <w:r w:rsidRPr="00AB19FC">
        <w:rPr>
          <w:snapToGrid w:val="0"/>
        </w:rPr>
        <w:t xml:space="preserve"> 2 provides that </w:t>
      </w:r>
      <w:r>
        <w:rPr>
          <w:snapToGrid w:val="0"/>
        </w:rPr>
        <w:t>sections 1 to 4 of this Determination commence on the date of signature and Schedule 1 commences on 20 April 2018.</w:t>
      </w:r>
    </w:p>
    <w:p w:rsidR="00550087" w:rsidRPr="00AB19FC" w:rsidRDefault="00550087" w:rsidP="00550087">
      <w:pPr>
        <w:pStyle w:val="BlockText-Plain"/>
      </w:pPr>
      <w:r>
        <w:rPr>
          <w:snapToGrid w:val="0"/>
        </w:rPr>
        <w:t xml:space="preserve">Section 3 provides that this Determination has authority under section 58H of the </w:t>
      </w:r>
      <w:r w:rsidRPr="00F33564">
        <w:rPr>
          <w:i/>
          <w:snapToGrid w:val="0"/>
        </w:rPr>
        <w:t>Defence Act 1903</w:t>
      </w:r>
      <w:r>
        <w:rPr>
          <w:snapToGrid w:val="0"/>
        </w:rPr>
        <w:t>.</w:t>
      </w:r>
    </w:p>
    <w:p w:rsidR="00550087" w:rsidRPr="006F1C77" w:rsidRDefault="00550087" w:rsidP="00550087">
      <w:pPr>
        <w:pStyle w:val="BlockText-Plain"/>
        <w:rPr>
          <w:snapToGrid w:val="0"/>
        </w:rPr>
      </w:pPr>
      <w:r w:rsidRPr="006F1C77">
        <w:rPr>
          <w:snapToGrid w:val="0"/>
        </w:rPr>
        <w:t>Section 4 provides that each instrument that is specified in a Schedule to this instrument is amended or</w:t>
      </w:r>
      <w:r>
        <w:rPr>
          <w:snapToGrid w:val="0"/>
        </w:rPr>
        <w:t xml:space="preserve"> </w:t>
      </w:r>
      <w:r w:rsidRPr="006F1C77">
        <w:rPr>
          <w:snapToGrid w:val="0"/>
        </w:rPr>
        <w:t>repealed as set out in the applicable items in the Schedule concerned, and any other item in a Schedule</w:t>
      </w:r>
      <w:r>
        <w:rPr>
          <w:snapToGrid w:val="0"/>
        </w:rPr>
        <w:t xml:space="preserve"> </w:t>
      </w:r>
      <w:r w:rsidRPr="006F1C77">
        <w:rPr>
          <w:snapToGrid w:val="0"/>
        </w:rPr>
        <w:t>to this instrument has effect according to its terms.</w:t>
      </w:r>
    </w:p>
    <w:p w:rsidR="00550087" w:rsidRPr="00710306" w:rsidRDefault="00550087" w:rsidP="00550087">
      <w:pPr>
        <w:pStyle w:val="BlockText-Plain"/>
        <w:rPr>
          <w:snapToGrid w:val="0"/>
          <w:u w:val="single"/>
        </w:rPr>
      </w:pPr>
      <w:r>
        <w:rPr>
          <w:snapToGrid w:val="0"/>
          <w:u w:val="single"/>
        </w:rPr>
        <w:t xml:space="preserve">Schedule 1 </w:t>
      </w:r>
      <w:proofErr w:type="gramStart"/>
      <w:r>
        <w:rPr>
          <w:snapToGrid w:val="0"/>
          <w:u w:val="single"/>
        </w:rPr>
        <w:t>sets</w:t>
      </w:r>
      <w:proofErr w:type="gramEnd"/>
      <w:r>
        <w:rPr>
          <w:snapToGrid w:val="0"/>
          <w:u w:val="single"/>
        </w:rPr>
        <w:t xml:space="preserve"> out amendments to DFRT Determination No. 2 of 2017</w:t>
      </w:r>
    </w:p>
    <w:p w:rsidR="00550087" w:rsidRDefault="00550087" w:rsidP="00550087">
      <w:pPr>
        <w:pStyle w:val="BlockText-Plain"/>
      </w:pPr>
      <w:r>
        <w:rPr>
          <w:snapToGrid w:val="0"/>
        </w:rPr>
        <w:t xml:space="preserve">Section 1 amends Schedule B.2 Part 2 Pay grade 8 of the Principal Determination. </w:t>
      </w:r>
      <w:r w:rsidRPr="00E04004">
        <w:t>The classification descriptor for</w:t>
      </w:r>
      <w:r>
        <w:t xml:space="preserve"> table items 2, 12, 13, 47, 49 and 50,</w:t>
      </w:r>
      <w:r w:rsidRPr="00E04004">
        <w:t xml:space="preserve"> </w:t>
      </w:r>
      <w:r>
        <w:t>(</w:t>
      </w:r>
      <w:r w:rsidRPr="00E04004">
        <w:t>engineer officer employment categories</w:t>
      </w:r>
      <w:r>
        <w:t>)</w:t>
      </w:r>
      <w:r w:rsidRPr="00E04004">
        <w:t xml:space="preserve"> </w:t>
      </w:r>
      <w:r>
        <w:t>are</w:t>
      </w:r>
      <w:r w:rsidRPr="00E04004">
        <w:t xml:space="preserve"> changed from 'Level 2' to 'Principal Engineer or Subordinate Materiel Governance Authority'.</w:t>
      </w:r>
    </w:p>
    <w:p w:rsidR="00550087" w:rsidRDefault="00550087" w:rsidP="00550087">
      <w:pPr>
        <w:pStyle w:val="BlockText-Plain"/>
        <w:rPr>
          <w:snapToGrid w:val="0"/>
        </w:rPr>
      </w:pPr>
    </w:p>
    <w:p w:rsidR="00550087" w:rsidRDefault="00550087" w:rsidP="00550087">
      <w:pPr>
        <w:pStyle w:val="BlockText-Plain"/>
        <w:jc w:val="right"/>
      </w:pPr>
      <w:r>
        <w:rPr>
          <w:b/>
        </w:rPr>
        <w:t>Authority:</w:t>
      </w:r>
      <w:r>
        <w:t xml:space="preserve">  Section 58H of the </w:t>
      </w:r>
      <w:r>
        <w:br/>
      </w:r>
      <w:r>
        <w:rPr>
          <w:i/>
        </w:rPr>
        <w:t>Defence Act 1903</w:t>
      </w:r>
    </w:p>
    <w:p w:rsidR="008F2850" w:rsidRDefault="008F2850">
      <w:bookmarkStart w:id="0" w:name="_GoBack"/>
      <w:bookmarkEnd w:id="0"/>
    </w:p>
    <w:sectPr w:rsidR="008F2850" w:rsidSect="003652AA">
      <w:headerReference w:type="default" r:id="rId5"/>
      <w:footerReference w:type="default" r:id="rId6"/>
      <w:headerReference w:type="first" r:id="rId7"/>
      <w:footerReference w:type="first" r:id="rId8"/>
      <w:pgSz w:w="11906" w:h="16838" w:code="9"/>
      <w:pgMar w:top="1134" w:right="1134" w:bottom="99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30" w:rsidRDefault="00550087">
    <w:pPr>
      <w:pStyle w:val="Footer"/>
      <w:ind w:left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30" w:rsidRDefault="00550087">
    <w:pPr>
      <w:pStyle w:val="Footer"/>
      <w:ind w:left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2AA" w:rsidRDefault="00550087"/>
  <w:p w:rsidR="003652AA" w:rsidRDefault="00550087">
    <w:pPr>
      <w:tabs>
        <w:tab w:val="right" w:pos="2410"/>
      </w:tabs>
      <w:ind w:left="2835" w:hanging="2835"/>
    </w:pPr>
  </w:p>
  <w:p w:rsidR="003652AA" w:rsidRDefault="0055008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2AA" w:rsidRDefault="00550087"/>
  <w:p w:rsidR="003652AA" w:rsidRDefault="005500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E7"/>
    <w:rsid w:val="00550087"/>
    <w:rsid w:val="008F2850"/>
    <w:rsid w:val="00D1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087"/>
    <w:pPr>
      <w:keepLines/>
      <w:spacing w:after="0" w:line="240" w:lineRule="auto"/>
    </w:pPr>
    <w:rPr>
      <w:rFonts w:ascii="Arial" w:eastAsia="Times New Roman" w:hAnsi="Arial" w:cs="Times New Roman"/>
      <w:szCs w:val="20"/>
      <w:lang w:eastAsia="en-AU"/>
    </w:rPr>
  </w:style>
  <w:style w:type="paragraph" w:styleId="Heading1">
    <w:name w:val="heading 1"/>
    <w:aliases w:val="Document/Determination Title"/>
    <w:basedOn w:val="Normal"/>
    <w:next w:val="Normal"/>
    <w:link w:val="Heading1Char"/>
    <w:qFormat/>
    <w:rsid w:val="00550087"/>
    <w:pPr>
      <w:keepLines w:val="0"/>
      <w:widowControl w:val="0"/>
      <w:spacing w:after="240"/>
      <w:outlineLvl w:val="0"/>
    </w:pPr>
    <w:rPr>
      <w:b/>
      <w:sz w:val="36"/>
    </w:rPr>
  </w:style>
  <w:style w:type="paragraph" w:styleId="Heading2">
    <w:name w:val="heading 2"/>
    <w:aliases w:val="Chapter Title"/>
    <w:basedOn w:val="Normal"/>
    <w:next w:val="Normal"/>
    <w:link w:val="Heading2Char"/>
    <w:qFormat/>
    <w:rsid w:val="00550087"/>
    <w:pPr>
      <w:keepNext/>
      <w:shd w:val="clear" w:color="FFFF00" w:fill="auto"/>
      <w:spacing w:after="240"/>
      <w:outlineLvl w:val="1"/>
    </w:pPr>
    <w:rPr>
      <w:b/>
      <w:color w:val="00008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0087"/>
    <w:rPr>
      <w:rFonts w:ascii="Arial" w:eastAsia="Times New Roman" w:hAnsi="Arial" w:cs="Times New Roman"/>
      <w:b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550087"/>
    <w:rPr>
      <w:rFonts w:ascii="Arial" w:eastAsia="Times New Roman" w:hAnsi="Arial" w:cs="Times New Roman"/>
      <w:b/>
      <w:color w:val="000080"/>
      <w:sz w:val="30"/>
      <w:szCs w:val="20"/>
      <w:shd w:val="clear" w:color="FFFF00" w:fill="auto"/>
      <w:lang w:eastAsia="en-AU"/>
    </w:rPr>
  </w:style>
  <w:style w:type="paragraph" w:customStyle="1" w:styleId="BlockText-Plain">
    <w:name w:val="Block Text- Plain"/>
    <w:basedOn w:val="Normal"/>
    <w:link w:val="BlockText-PlainChar"/>
    <w:rsid w:val="00550087"/>
    <w:pPr>
      <w:keepLines w:val="0"/>
      <w:spacing w:after="200"/>
    </w:pPr>
    <w:rPr>
      <w:sz w:val="20"/>
    </w:rPr>
  </w:style>
  <w:style w:type="paragraph" w:styleId="Footer">
    <w:name w:val="footer"/>
    <w:basedOn w:val="Normal"/>
    <w:link w:val="FooterChar"/>
    <w:rsid w:val="00550087"/>
    <w:pPr>
      <w:tabs>
        <w:tab w:val="center" w:pos="4395"/>
        <w:tab w:val="right" w:pos="8931"/>
      </w:tabs>
      <w:ind w:left="-425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550087"/>
    <w:rPr>
      <w:rFonts w:ascii="Arial" w:eastAsia="Times New Roman" w:hAnsi="Arial" w:cs="Times New Roman"/>
      <w:sz w:val="18"/>
      <w:szCs w:val="20"/>
      <w:lang w:eastAsia="en-AU"/>
    </w:rPr>
  </w:style>
  <w:style w:type="character" w:customStyle="1" w:styleId="BlockText-PlainChar">
    <w:name w:val="Block Text- Plain Char"/>
    <w:link w:val="BlockText-Plain"/>
    <w:rsid w:val="00550087"/>
    <w:rPr>
      <w:rFonts w:ascii="Arial" w:eastAsia="Times New Roman" w:hAnsi="Arial" w:cs="Times New Roman"/>
      <w:sz w:val="20"/>
      <w:szCs w:val="20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087"/>
    <w:pPr>
      <w:keepLines/>
      <w:spacing w:after="0" w:line="240" w:lineRule="auto"/>
    </w:pPr>
    <w:rPr>
      <w:rFonts w:ascii="Arial" w:eastAsia="Times New Roman" w:hAnsi="Arial" w:cs="Times New Roman"/>
      <w:szCs w:val="20"/>
      <w:lang w:eastAsia="en-AU"/>
    </w:rPr>
  </w:style>
  <w:style w:type="paragraph" w:styleId="Heading1">
    <w:name w:val="heading 1"/>
    <w:aliases w:val="Document/Determination Title"/>
    <w:basedOn w:val="Normal"/>
    <w:next w:val="Normal"/>
    <w:link w:val="Heading1Char"/>
    <w:qFormat/>
    <w:rsid w:val="00550087"/>
    <w:pPr>
      <w:keepLines w:val="0"/>
      <w:widowControl w:val="0"/>
      <w:spacing w:after="240"/>
      <w:outlineLvl w:val="0"/>
    </w:pPr>
    <w:rPr>
      <w:b/>
      <w:sz w:val="36"/>
    </w:rPr>
  </w:style>
  <w:style w:type="paragraph" w:styleId="Heading2">
    <w:name w:val="heading 2"/>
    <w:aliases w:val="Chapter Title"/>
    <w:basedOn w:val="Normal"/>
    <w:next w:val="Normal"/>
    <w:link w:val="Heading2Char"/>
    <w:qFormat/>
    <w:rsid w:val="00550087"/>
    <w:pPr>
      <w:keepNext/>
      <w:shd w:val="clear" w:color="FFFF00" w:fill="auto"/>
      <w:spacing w:after="240"/>
      <w:outlineLvl w:val="1"/>
    </w:pPr>
    <w:rPr>
      <w:b/>
      <w:color w:val="00008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0087"/>
    <w:rPr>
      <w:rFonts w:ascii="Arial" w:eastAsia="Times New Roman" w:hAnsi="Arial" w:cs="Times New Roman"/>
      <w:b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550087"/>
    <w:rPr>
      <w:rFonts w:ascii="Arial" w:eastAsia="Times New Roman" w:hAnsi="Arial" w:cs="Times New Roman"/>
      <w:b/>
      <w:color w:val="000080"/>
      <w:sz w:val="30"/>
      <w:szCs w:val="20"/>
      <w:shd w:val="clear" w:color="FFFF00" w:fill="auto"/>
      <w:lang w:eastAsia="en-AU"/>
    </w:rPr>
  </w:style>
  <w:style w:type="paragraph" w:customStyle="1" w:styleId="BlockText-Plain">
    <w:name w:val="Block Text- Plain"/>
    <w:basedOn w:val="Normal"/>
    <w:link w:val="BlockText-PlainChar"/>
    <w:rsid w:val="00550087"/>
    <w:pPr>
      <w:keepLines w:val="0"/>
      <w:spacing w:after="200"/>
    </w:pPr>
    <w:rPr>
      <w:sz w:val="20"/>
    </w:rPr>
  </w:style>
  <w:style w:type="paragraph" w:styleId="Footer">
    <w:name w:val="footer"/>
    <w:basedOn w:val="Normal"/>
    <w:link w:val="FooterChar"/>
    <w:rsid w:val="00550087"/>
    <w:pPr>
      <w:tabs>
        <w:tab w:val="center" w:pos="4395"/>
        <w:tab w:val="right" w:pos="8931"/>
      </w:tabs>
      <w:ind w:left="-425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550087"/>
    <w:rPr>
      <w:rFonts w:ascii="Arial" w:eastAsia="Times New Roman" w:hAnsi="Arial" w:cs="Times New Roman"/>
      <w:sz w:val="18"/>
      <w:szCs w:val="20"/>
      <w:lang w:eastAsia="en-AU"/>
    </w:rPr>
  </w:style>
  <w:style w:type="character" w:customStyle="1" w:styleId="BlockText-PlainChar">
    <w:name w:val="Block Text- Plain Char"/>
    <w:link w:val="BlockText-Plain"/>
    <w:rsid w:val="00550087"/>
    <w:rPr>
      <w:rFonts w:ascii="Arial" w:eastAsia="Times New Roman" w:hAnsi="Arial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1811</Characters>
  <Application>Microsoft Office Word</Application>
  <DocSecurity>0</DocSecurity>
  <Lines>50</Lines>
  <Paragraphs>28</Paragraphs>
  <ScaleCrop>false</ScaleCrop>
  <Company>Defence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Amphlett, Kieron MR</dc:creator>
  <cp:keywords/>
  <dc:description/>
  <cp:lastModifiedBy>Amphlett, Kieron MR</cp:lastModifiedBy>
  <cp:revision>2</cp:revision>
  <dcterms:created xsi:type="dcterms:W3CDTF">2018-02-20T01:39:00Z</dcterms:created>
  <dcterms:modified xsi:type="dcterms:W3CDTF">2018-02-20T01:39:00Z</dcterms:modified>
</cp:coreProperties>
</file>