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4F" w:rsidRDefault="007E774F" w:rsidP="007E774F">
      <w:pPr>
        <w:pStyle w:val="Heading1"/>
        <w:keepNext/>
        <w:keepLines/>
      </w:pPr>
      <w:r>
        <w:t>EXPLANATORY STATEMENT</w:t>
      </w:r>
    </w:p>
    <w:p w:rsidR="007E774F" w:rsidRPr="002B30E0" w:rsidRDefault="007E774F" w:rsidP="007E774F">
      <w:pPr>
        <w:pStyle w:val="Heading2"/>
      </w:pPr>
      <w:r w:rsidRPr="002B30E0">
        <w:t xml:space="preserve">Defence Force Remuneration Tribunal Determination </w:t>
      </w:r>
      <w:r>
        <w:br/>
      </w:r>
      <w:r w:rsidRPr="002B30E0">
        <w:t xml:space="preserve">No. </w:t>
      </w:r>
      <w:r>
        <w:t>1 of 2018</w:t>
      </w:r>
    </w:p>
    <w:p w:rsidR="007E774F" w:rsidRPr="00426FCB" w:rsidRDefault="007E774F" w:rsidP="007E774F">
      <w:pPr>
        <w:pStyle w:val="BlockText-Plain"/>
        <w:tabs>
          <w:tab w:val="left" w:pos="7380"/>
        </w:tabs>
        <w:rPr>
          <w:rFonts w:cs="Arial"/>
        </w:rPr>
      </w:pPr>
      <w:r w:rsidRPr="00426FCB">
        <w:rPr>
          <w:rFonts w:cs="Arial"/>
        </w:rPr>
        <w:t>This Deter</w:t>
      </w:r>
      <w:r>
        <w:rPr>
          <w:rFonts w:cs="Arial"/>
        </w:rPr>
        <w:t>mination made under section 58H</w:t>
      </w:r>
      <w:r w:rsidRPr="00426FCB">
        <w:rPr>
          <w:rFonts w:cs="Arial"/>
        </w:rPr>
        <w:t xml:space="preserve"> of the </w:t>
      </w:r>
      <w:r w:rsidRPr="00426FCB">
        <w:rPr>
          <w:rFonts w:cs="Arial"/>
          <w:i/>
        </w:rPr>
        <w:t>Defence Act 1903</w:t>
      </w:r>
      <w:r w:rsidRPr="00426FCB">
        <w:rPr>
          <w:rFonts w:cs="Arial"/>
        </w:rPr>
        <w:t xml:space="preserve"> (the Act)</w:t>
      </w:r>
      <w:r>
        <w:rPr>
          <w:rFonts w:cs="Arial"/>
        </w:rPr>
        <w:t>,</w:t>
      </w:r>
      <w:r w:rsidRPr="00426FCB">
        <w:rPr>
          <w:rFonts w:cs="Arial"/>
        </w:rPr>
        <w:t xml:space="preserve"> amends the following Defence Force Remuneration Tribunal (DFRT) </w:t>
      </w:r>
      <w:r>
        <w:rPr>
          <w:rFonts w:cs="Arial"/>
        </w:rPr>
        <w:t>Determinations,</w:t>
      </w:r>
      <w:r w:rsidRPr="00426FCB">
        <w:rPr>
          <w:rFonts w:cs="Arial"/>
        </w:rPr>
        <w:t xml:space="preserve"> in accordance with subsection 33(3) of the </w:t>
      </w:r>
      <w:r w:rsidRPr="00426FCB">
        <w:rPr>
          <w:rFonts w:cs="Arial"/>
          <w:i/>
        </w:rPr>
        <w:t>Acts Interpretation Act 1901</w:t>
      </w:r>
      <w:r w:rsidRPr="00426FCB">
        <w:rPr>
          <w:rFonts w:cs="Arial"/>
        </w:rPr>
        <w:t xml:space="preserve"> (AIA Act).</w:t>
      </w:r>
    </w:p>
    <w:p w:rsidR="007E774F" w:rsidRDefault="007E774F" w:rsidP="007E774F">
      <w:pPr>
        <w:pStyle w:val="BlockText-Plain"/>
        <w:numPr>
          <w:ilvl w:val="0"/>
          <w:numId w:val="1"/>
        </w:numPr>
        <w:tabs>
          <w:tab w:val="left" w:pos="7380"/>
        </w:tabs>
        <w:spacing w:after="0"/>
        <w:ind w:left="714" w:hanging="357"/>
      </w:pPr>
      <w:r>
        <w:t xml:space="preserve">DFRT Determination No. 2 of 2017, </w:t>
      </w:r>
      <w:r w:rsidRPr="00F63AD0">
        <w:rPr>
          <w:i/>
        </w:rPr>
        <w:t>Salaries</w:t>
      </w:r>
      <w:r>
        <w:t>.</w:t>
      </w:r>
    </w:p>
    <w:p w:rsidR="007E774F" w:rsidRDefault="007E774F" w:rsidP="007E774F">
      <w:pPr>
        <w:pStyle w:val="BlockText-Plain"/>
        <w:numPr>
          <w:ilvl w:val="0"/>
          <w:numId w:val="1"/>
        </w:numPr>
        <w:tabs>
          <w:tab w:val="left" w:pos="7380"/>
        </w:tabs>
        <w:spacing w:after="0"/>
        <w:ind w:left="714" w:hanging="357"/>
      </w:pPr>
      <w:r>
        <w:t xml:space="preserve">DFRT Determination No. 11 of 2013, </w:t>
      </w:r>
      <w:r w:rsidRPr="00F63AD0">
        <w:rPr>
          <w:i/>
        </w:rPr>
        <w:t>ADF Allowances</w:t>
      </w:r>
      <w:r>
        <w:t>.</w:t>
      </w:r>
    </w:p>
    <w:p w:rsidR="007E774F" w:rsidRPr="00430D58" w:rsidRDefault="007E774F" w:rsidP="007E774F">
      <w:pPr>
        <w:pStyle w:val="BlockText-Plain"/>
        <w:numPr>
          <w:ilvl w:val="0"/>
          <w:numId w:val="1"/>
        </w:numPr>
        <w:tabs>
          <w:tab w:val="left" w:pos="7380"/>
        </w:tabs>
      </w:pPr>
      <w:r>
        <w:t>DFRT Determination No. 12 of 2012</w:t>
      </w:r>
      <w:r w:rsidRPr="00430D58">
        <w:t xml:space="preserve">, </w:t>
      </w:r>
      <w:r>
        <w:rPr>
          <w:i/>
        </w:rPr>
        <w:t>Officer Aviation Remuneration Structure Allowance</w:t>
      </w:r>
      <w:r w:rsidRPr="00430D58">
        <w:t>.</w:t>
      </w:r>
    </w:p>
    <w:p w:rsidR="007E774F" w:rsidRDefault="007E774F" w:rsidP="007E774F">
      <w:pPr>
        <w:pStyle w:val="BlockText-Plain"/>
      </w:pPr>
      <w:r>
        <w:t>The purpose of this Determination is to amend the DFRT determinations to ensure that a member is not remunerated for a period where they are not on duty under a flexible service determination.</w:t>
      </w:r>
    </w:p>
    <w:p w:rsidR="007E774F" w:rsidRDefault="007E774F" w:rsidP="007E774F">
      <w:pPr>
        <w:pStyle w:val="BlockText-Plain"/>
        <w:rPr>
          <w:snapToGrid w:val="0"/>
        </w:rPr>
      </w:pPr>
      <w:proofErr w:type="gramStart"/>
      <w:r>
        <w:rPr>
          <w:snapToGrid w:val="0"/>
        </w:rPr>
        <w:t>Section 1 of this Determination sets out the manner in which this Determination may be cited.</w:t>
      </w:r>
      <w:proofErr w:type="gramEnd"/>
    </w:p>
    <w:p w:rsidR="007E774F" w:rsidRDefault="007E774F" w:rsidP="007E774F">
      <w:pPr>
        <w:pStyle w:val="BlockText-Plain"/>
      </w:pPr>
      <w:r>
        <w:t>Section 2 of this Determination provides that the Determination commences on the date of signature.</w:t>
      </w:r>
    </w:p>
    <w:p w:rsidR="007E774F" w:rsidRPr="00AB19FC" w:rsidRDefault="007E774F" w:rsidP="007E774F">
      <w:pPr>
        <w:pStyle w:val="BlockText-Plain"/>
      </w:pPr>
      <w:r>
        <w:rPr>
          <w:snapToGrid w:val="0"/>
        </w:rPr>
        <w:t xml:space="preserve">Section 3 provides that this instrument has authority under section 58H of the </w:t>
      </w:r>
      <w:r w:rsidRPr="00F33564">
        <w:rPr>
          <w:i/>
          <w:snapToGrid w:val="0"/>
        </w:rPr>
        <w:t>Defence Act 1903</w:t>
      </w:r>
      <w:r>
        <w:rPr>
          <w:snapToGrid w:val="0"/>
        </w:rPr>
        <w:t>.</w:t>
      </w:r>
    </w:p>
    <w:p w:rsidR="007E774F" w:rsidRDefault="007E774F" w:rsidP="007E774F">
      <w:pPr>
        <w:pStyle w:val="BlockText-Plain"/>
        <w:rPr>
          <w:snapToGrid w:val="0"/>
        </w:rPr>
      </w:pPr>
      <w:r w:rsidRPr="006F1C77">
        <w:rPr>
          <w:snapToGrid w:val="0"/>
        </w:rPr>
        <w:t>Section 4 provides that each instrument that is specified in a Schedule to this instrument is amended or</w:t>
      </w:r>
      <w:r>
        <w:rPr>
          <w:snapToGrid w:val="0"/>
        </w:rPr>
        <w:t xml:space="preserve"> </w:t>
      </w:r>
      <w:r w:rsidRPr="006F1C77">
        <w:rPr>
          <w:snapToGrid w:val="0"/>
        </w:rPr>
        <w:t>repealed as set out in the applicable items in the Schedule concerned, and any other item in a Schedule</w:t>
      </w:r>
      <w:r>
        <w:rPr>
          <w:snapToGrid w:val="0"/>
        </w:rPr>
        <w:t xml:space="preserve"> </w:t>
      </w:r>
      <w:r w:rsidRPr="006F1C77">
        <w:rPr>
          <w:snapToGrid w:val="0"/>
        </w:rPr>
        <w:t>to this instrument has effect according to its terms.</w:t>
      </w:r>
    </w:p>
    <w:p w:rsidR="007E774F" w:rsidRPr="00F70943" w:rsidRDefault="007E774F" w:rsidP="007E774F">
      <w:pPr>
        <w:pStyle w:val="BlockText-Plain"/>
        <w:rPr>
          <w:snapToGrid w:val="0"/>
          <w:u w:val="single"/>
        </w:rPr>
      </w:pPr>
      <w:r w:rsidRPr="00F70943">
        <w:rPr>
          <w:snapToGrid w:val="0"/>
          <w:u w:val="single"/>
        </w:rPr>
        <w:t>Background</w:t>
      </w:r>
    </w:p>
    <w:p w:rsidR="007E774F" w:rsidRDefault="007E774F" w:rsidP="007E774F">
      <w:pPr>
        <w:pStyle w:val="BlockText-Plain"/>
        <w:rPr>
          <w:rFonts w:cs="Arial"/>
          <w:snapToGrid w:val="0"/>
        </w:rPr>
      </w:pPr>
      <w:r w:rsidRPr="00EA719E">
        <w:rPr>
          <w:rFonts w:cs="Arial"/>
          <w:snapToGrid w:val="0"/>
        </w:rPr>
        <w:t xml:space="preserve">This Determination amends the DFRT's salaries and allowances principal determinations to allow for flexible service determinations, made under section 23 of the Defence Act 1903 ('the Act'). Flexible service determinations were introduced under the </w:t>
      </w:r>
      <w:r w:rsidRPr="00291F70">
        <w:rPr>
          <w:rFonts w:cs="Arial"/>
          <w:i/>
          <w:snapToGrid w:val="0"/>
        </w:rPr>
        <w:t>Defence Legislation Amendment (First Principles) Act 2015</w:t>
      </w:r>
      <w:r w:rsidRPr="00EA719E">
        <w:rPr>
          <w:rFonts w:cs="Arial"/>
          <w:snapToGrid w:val="0"/>
        </w:rPr>
        <w:t xml:space="preserve">. </w:t>
      </w:r>
    </w:p>
    <w:p w:rsidR="007E774F" w:rsidRPr="00EA719E" w:rsidRDefault="007E774F" w:rsidP="007E774F">
      <w:pPr>
        <w:pStyle w:val="BlockText-Plain"/>
        <w:rPr>
          <w:rFonts w:cs="Arial"/>
          <w:snapToGrid w:val="0"/>
        </w:rPr>
      </w:pPr>
      <w:r w:rsidRPr="00F003F0">
        <w:rPr>
          <w:iCs/>
        </w:rPr>
        <w:t xml:space="preserve">The </w:t>
      </w:r>
      <w:r w:rsidRPr="00F003F0">
        <w:t>flexible service determination</w:t>
      </w:r>
      <w:r w:rsidRPr="00F003F0">
        <w:rPr>
          <w:iCs/>
        </w:rPr>
        <w:t xml:space="preserve"> is a non-legislative instrument. The conditions for a member that may be determined under a </w:t>
      </w:r>
      <w:r w:rsidRPr="00F003F0">
        <w:t>flexible service determination</w:t>
      </w:r>
      <w:r>
        <w:rPr>
          <w:iCs/>
        </w:rPr>
        <w:t xml:space="preserve"> include periods of duty </w:t>
      </w:r>
      <w:r w:rsidRPr="00F003F0">
        <w:rPr>
          <w:iCs/>
        </w:rPr>
        <w:t xml:space="preserve">and any other relevant matter. The periods of duty constitute a members 'pattern of service'. A permanent member subject to a </w:t>
      </w:r>
      <w:r w:rsidRPr="00F003F0">
        <w:t>flexible service determination</w:t>
      </w:r>
      <w:r w:rsidRPr="00F003F0">
        <w:rPr>
          <w:iCs/>
        </w:rPr>
        <w:t xml:space="preserve"> is still required to render continuous full-time service.</w:t>
      </w:r>
      <w:r w:rsidRPr="001A2D91">
        <w:rPr>
          <w:rFonts w:cs="Arial"/>
          <w:snapToGrid w:val="0"/>
        </w:rPr>
        <w:t xml:space="preserve"> </w:t>
      </w:r>
      <w:r w:rsidRPr="00CE67CF">
        <w:rPr>
          <w:rFonts w:cs="Arial"/>
          <w:snapToGrid w:val="0"/>
        </w:rPr>
        <w:t>A member’s pattern of service may include paid days for which they are not required to attend for duty, for example, public holidays, Christmas stand-down, or short absences when not required for duty.</w:t>
      </w:r>
    </w:p>
    <w:p w:rsidR="007E774F" w:rsidRDefault="007E774F" w:rsidP="007E774F">
      <w:pPr>
        <w:pStyle w:val="BlockText-Plain"/>
        <w:rPr>
          <w:rFonts w:cs="Arial"/>
          <w:snapToGrid w:val="0"/>
        </w:rPr>
      </w:pPr>
      <w:r w:rsidRPr="00EA719E">
        <w:rPr>
          <w:rFonts w:cs="Arial"/>
          <w:snapToGrid w:val="0"/>
        </w:rPr>
        <w:t xml:space="preserve">A flexible service determination provides greater flexibility for members of the Permanent Forces in line with contemporary expectations and standards of employment, and provides the ADF with more versatile patterns of service to support operational and or capability requirements. A flexible service determination may provide for a pattern of service which may enable members to attend for particular hours in a day, days in a week or  for differing periods of time (for example, three months on and three months off) or a combination of these arrangements. </w:t>
      </w:r>
    </w:p>
    <w:p w:rsidR="007E774F" w:rsidRDefault="007E774F" w:rsidP="007E774F">
      <w:pPr>
        <w:pStyle w:val="BlockText-Plain"/>
        <w:rPr>
          <w:rFonts w:cs="Arial"/>
          <w:snapToGrid w:val="0"/>
        </w:rPr>
      </w:pPr>
      <w:r w:rsidRPr="00EA719E">
        <w:rPr>
          <w:rFonts w:cs="Arial"/>
          <w:snapToGrid w:val="0"/>
        </w:rPr>
        <w:t xml:space="preserve">Amendments made by this Determination ensure a member is not remunerated for a period where they are not </w:t>
      </w:r>
      <w:r>
        <w:rPr>
          <w:rFonts w:cs="Arial"/>
          <w:snapToGrid w:val="0"/>
        </w:rPr>
        <w:t>performing their pattern of service</w:t>
      </w:r>
      <w:r w:rsidRPr="00EA719E">
        <w:rPr>
          <w:rFonts w:cs="Arial"/>
          <w:snapToGrid w:val="0"/>
        </w:rPr>
        <w:t xml:space="preserve"> under a flexible service determination.</w:t>
      </w:r>
      <w:r>
        <w:rPr>
          <w:rFonts w:cs="Arial"/>
          <w:snapToGrid w:val="0"/>
        </w:rPr>
        <w:t xml:space="preserve"> </w:t>
      </w:r>
    </w:p>
    <w:p w:rsidR="007E774F" w:rsidRPr="001425E8" w:rsidRDefault="007E774F" w:rsidP="007E774F">
      <w:pPr>
        <w:pStyle w:val="BlockText-Plain"/>
        <w:rPr>
          <w:rFonts w:cs="Arial"/>
          <w:snapToGrid w:val="0"/>
        </w:rPr>
      </w:pPr>
    </w:p>
    <w:p w:rsidR="007E774F" w:rsidRDefault="007E774F" w:rsidP="007E774F">
      <w:pPr>
        <w:pStyle w:val="BlockText-Plain"/>
        <w:rPr>
          <w:snapToGrid w:val="0"/>
          <w:u w:val="single"/>
        </w:rPr>
      </w:pPr>
      <w:r>
        <w:rPr>
          <w:snapToGrid w:val="0"/>
          <w:u w:val="single"/>
        </w:rPr>
        <w:br w:type="page"/>
      </w:r>
    </w:p>
    <w:p w:rsidR="007E774F" w:rsidRPr="00710306" w:rsidRDefault="007E774F" w:rsidP="007E774F">
      <w:pPr>
        <w:pStyle w:val="BlockText-Plain"/>
        <w:rPr>
          <w:snapToGrid w:val="0"/>
          <w:u w:val="single"/>
        </w:rPr>
      </w:pPr>
      <w:r>
        <w:rPr>
          <w:snapToGrid w:val="0"/>
          <w:u w:val="single"/>
        </w:rPr>
        <w:lastRenderedPageBreak/>
        <w:t xml:space="preserve">Schedule 1 </w:t>
      </w:r>
      <w:proofErr w:type="gramStart"/>
      <w:r>
        <w:rPr>
          <w:snapToGrid w:val="0"/>
          <w:u w:val="single"/>
        </w:rPr>
        <w:t>sets</w:t>
      </w:r>
      <w:proofErr w:type="gramEnd"/>
      <w:r>
        <w:rPr>
          <w:snapToGrid w:val="0"/>
          <w:u w:val="single"/>
        </w:rPr>
        <w:t xml:space="preserve"> out amendments to DFRT Determination No. 2 of 2017, </w:t>
      </w:r>
      <w:r w:rsidRPr="00887C5D">
        <w:rPr>
          <w:i/>
          <w:snapToGrid w:val="0"/>
          <w:u w:val="single"/>
        </w:rPr>
        <w:t>Salaries</w:t>
      </w:r>
    </w:p>
    <w:p w:rsidR="007E774F" w:rsidRDefault="007E774F" w:rsidP="007E774F">
      <w:pPr>
        <w:pStyle w:val="BlockText-Plain"/>
        <w:rPr>
          <w:snapToGrid w:val="0"/>
        </w:rPr>
      </w:pPr>
      <w:r>
        <w:rPr>
          <w:snapToGrid w:val="0"/>
        </w:rPr>
        <w:t>Section 1 amends section A.1.4 by inserting paragraph A.1.4.f. The section provides instances when salary is not payable to a member. The new paragraph provides that salary is not payable to a member for their nonworking periods under a flexible service determination.</w:t>
      </w:r>
    </w:p>
    <w:p w:rsidR="007E774F" w:rsidRDefault="007E774F" w:rsidP="007E774F">
      <w:pPr>
        <w:pStyle w:val="BlockText-Plain"/>
        <w:rPr>
          <w:snapToGrid w:val="0"/>
        </w:rPr>
      </w:pPr>
      <w:r>
        <w:rPr>
          <w:snapToGrid w:val="0"/>
        </w:rPr>
        <w:t>Sections 2 to 4 amend the table in subsection A.1.9.2, which provides general definitions for terms used throughout the Determination. Three definitions are provided for 'flexible service determination', 'nonworking period' and 'pattern of service'. These terms are introduced by Schedule 1 section 1 of this Determination.</w:t>
      </w:r>
    </w:p>
    <w:p w:rsidR="007E774F" w:rsidRPr="00710306" w:rsidRDefault="007E774F" w:rsidP="007E774F">
      <w:pPr>
        <w:pStyle w:val="BlockText-Plain"/>
        <w:rPr>
          <w:snapToGrid w:val="0"/>
          <w:u w:val="single"/>
        </w:rPr>
      </w:pPr>
      <w:r>
        <w:rPr>
          <w:snapToGrid w:val="0"/>
          <w:u w:val="single"/>
        </w:rPr>
        <w:t xml:space="preserve">Schedule 2 sets out amendments to DFRT Determination No. 11 of 2013, </w:t>
      </w:r>
      <w:r>
        <w:rPr>
          <w:i/>
          <w:snapToGrid w:val="0"/>
          <w:u w:val="single"/>
        </w:rPr>
        <w:t>ADF Allowances</w:t>
      </w:r>
    </w:p>
    <w:p w:rsidR="007E774F" w:rsidRDefault="007E774F" w:rsidP="007E774F">
      <w:pPr>
        <w:pStyle w:val="BlockText-Plain"/>
        <w:rPr>
          <w:snapToGrid w:val="0"/>
        </w:rPr>
      </w:pPr>
      <w:r>
        <w:rPr>
          <w:snapToGrid w:val="0"/>
        </w:rPr>
        <w:t>Sections 1 to 3 amend the table in subsection A.1.6, which provides definitions for terms used throughout the Determination. Three definitions are provided for 'flexible service determination', 'nonworking period' and 'pattern of service'. These terms are introduced by Schedule 2 section 4 of this Determination.</w:t>
      </w:r>
    </w:p>
    <w:p w:rsidR="007E774F" w:rsidRDefault="007E774F" w:rsidP="007E774F">
      <w:pPr>
        <w:pStyle w:val="BlockText-Plain"/>
        <w:rPr>
          <w:snapToGrid w:val="0"/>
        </w:rPr>
      </w:pPr>
      <w:r>
        <w:rPr>
          <w:snapToGrid w:val="0"/>
        </w:rPr>
        <w:t>Section 4 amends subsection A.1.8.4 by inserting paragraph A.1.8.4.c. The section provides instances when allowances cease to be payable to a member. The new paragraph provides that allowances are not payable to a member for their nonworking periods under a flexible service determination.</w:t>
      </w:r>
    </w:p>
    <w:p w:rsidR="007E774F" w:rsidRPr="00710306" w:rsidRDefault="007E774F" w:rsidP="007E774F">
      <w:pPr>
        <w:pStyle w:val="BlockText-Plain"/>
        <w:rPr>
          <w:snapToGrid w:val="0"/>
          <w:u w:val="single"/>
        </w:rPr>
      </w:pPr>
      <w:r>
        <w:rPr>
          <w:snapToGrid w:val="0"/>
          <w:u w:val="single"/>
        </w:rPr>
        <w:t xml:space="preserve">Schedule 3 sets out amendments to DFRT Determination No. 12 of 2012, </w:t>
      </w:r>
      <w:r>
        <w:rPr>
          <w:i/>
          <w:snapToGrid w:val="0"/>
          <w:u w:val="single"/>
        </w:rPr>
        <w:t>Officer Aviation Remuneration Structure Allowance</w:t>
      </w:r>
    </w:p>
    <w:p w:rsidR="007E774F" w:rsidRDefault="007E774F" w:rsidP="007E774F">
      <w:pPr>
        <w:pStyle w:val="BlockText-Plain"/>
        <w:rPr>
          <w:snapToGrid w:val="0"/>
        </w:rPr>
      </w:pPr>
      <w:r>
        <w:rPr>
          <w:snapToGrid w:val="0"/>
        </w:rPr>
        <w:t>Sections 1 and 2 amend the table in section 4, which provides definitions for terms used throughout the Determination. Three definitions are provided for 'flexible service determination', 'nonworking period' and 'pattern of service'. These terms are introduced by Schedule 3 section 3 of this Determination.</w:t>
      </w:r>
    </w:p>
    <w:p w:rsidR="007E774F" w:rsidRDefault="007E774F" w:rsidP="007E774F">
      <w:pPr>
        <w:pStyle w:val="BlockText-Plain"/>
        <w:rPr>
          <w:snapToGrid w:val="0"/>
        </w:rPr>
      </w:pPr>
      <w:r>
        <w:rPr>
          <w:snapToGrid w:val="0"/>
        </w:rPr>
        <w:t>Section 3 amends the table in subsection 5.2, which provides a range of leave types and activities and whether they count as effective service for the purposes of receiving the allowance under the Determination. Section 3 inserts a new table item which provides that a nonworking period does not count as service.</w:t>
      </w:r>
    </w:p>
    <w:p w:rsidR="007E774F" w:rsidRDefault="007E774F" w:rsidP="007E774F">
      <w:pPr>
        <w:pStyle w:val="BlockText-Plain"/>
      </w:pPr>
    </w:p>
    <w:p w:rsidR="007E774F" w:rsidRDefault="007E774F" w:rsidP="007E774F">
      <w:pPr>
        <w:pStyle w:val="BlockText-Plain"/>
        <w:jc w:val="right"/>
      </w:pPr>
      <w:r>
        <w:rPr>
          <w:b/>
        </w:rPr>
        <w:t>Authority:</w:t>
      </w:r>
      <w:r>
        <w:t xml:space="preserve">  Section 58H of the </w:t>
      </w:r>
      <w:r>
        <w:br/>
      </w:r>
      <w:r>
        <w:rPr>
          <w:i/>
        </w:rPr>
        <w:t>Defence Act 1903</w:t>
      </w:r>
    </w:p>
    <w:p w:rsidR="007E774F" w:rsidRDefault="007E774F" w:rsidP="007E774F"/>
    <w:p w:rsidR="008F2850" w:rsidRDefault="008F2850">
      <w:bookmarkStart w:id="0" w:name="_GoBack"/>
      <w:bookmarkEnd w:id="0"/>
    </w:p>
    <w:sectPr w:rsidR="008F2850" w:rsidSect="003652AA">
      <w:headerReference w:type="default" r:id="rId6"/>
      <w:footerReference w:type="default" r:id="rId7"/>
      <w:headerReference w:type="first" r:id="rId8"/>
      <w:footerReference w:type="first" r:id="rId9"/>
      <w:pgSz w:w="11906" w:h="16838" w:code="9"/>
      <w:pgMar w:top="1134" w:right="1134" w:bottom="992"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30" w:rsidRDefault="007E774F">
    <w:pPr>
      <w:pStyle w:val="Footer"/>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30" w:rsidRDefault="007E774F">
    <w:pPr>
      <w:pStyle w:val="Footer"/>
      <w:ind w:left="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AA" w:rsidRDefault="007E774F"/>
  <w:p w:rsidR="003652AA" w:rsidRDefault="007E774F">
    <w:pPr>
      <w:tabs>
        <w:tab w:val="right" w:pos="2410"/>
      </w:tabs>
      <w:ind w:left="2835" w:hanging="2835"/>
    </w:pPr>
  </w:p>
  <w:p w:rsidR="003652AA" w:rsidRDefault="007E77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AA" w:rsidRDefault="007E774F"/>
  <w:p w:rsidR="003652AA" w:rsidRDefault="007E77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778F6"/>
    <w:multiLevelType w:val="hybridMultilevel"/>
    <w:tmpl w:val="F0F6A08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F79"/>
    <w:rsid w:val="007E774F"/>
    <w:rsid w:val="008F2850"/>
    <w:rsid w:val="009A0F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74F"/>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7E774F"/>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7E774F"/>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7E774F"/>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7E774F"/>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7E774F"/>
    <w:pPr>
      <w:keepLines w:val="0"/>
      <w:spacing w:after="200"/>
    </w:pPr>
    <w:rPr>
      <w:sz w:val="20"/>
    </w:rPr>
  </w:style>
  <w:style w:type="paragraph" w:styleId="Footer">
    <w:name w:val="footer"/>
    <w:basedOn w:val="Normal"/>
    <w:link w:val="FooterChar"/>
    <w:rsid w:val="007E774F"/>
    <w:pPr>
      <w:tabs>
        <w:tab w:val="center" w:pos="4395"/>
        <w:tab w:val="right" w:pos="8931"/>
      </w:tabs>
      <w:ind w:left="-425"/>
    </w:pPr>
    <w:rPr>
      <w:sz w:val="18"/>
    </w:rPr>
  </w:style>
  <w:style w:type="character" w:customStyle="1" w:styleId="FooterChar">
    <w:name w:val="Footer Char"/>
    <w:basedOn w:val="DefaultParagraphFont"/>
    <w:link w:val="Footer"/>
    <w:rsid w:val="007E774F"/>
    <w:rPr>
      <w:rFonts w:ascii="Arial" w:eastAsia="Times New Roman" w:hAnsi="Arial" w:cs="Times New Roman"/>
      <w:sz w:val="18"/>
      <w:szCs w:val="20"/>
      <w:lang w:eastAsia="en-AU"/>
    </w:rPr>
  </w:style>
  <w:style w:type="character" w:customStyle="1" w:styleId="BlockText-PlainChar">
    <w:name w:val="Block Text- Plain Char"/>
    <w:basedOn w:val="DefaultParagraphFont"/>
    <w:link w:val="BlockText-Plain"/>
    <w:rsid w:val="007E774F"/>
    <w:rPr>
      <w:rFonts w:ascii="Arial" w:eastAsia="Times New Roman" w:hAnsi="Arial"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74F"/>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7E774F"/>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7E774F"/>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7E774F"/>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7E774F"/>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7E774F"/>
    <w:pPr>
      <w:keepLines w:val="0"/>
      <w:spacing w:after="200"/>
    </w:pPr>
    <w:rPr>
      <w:sz w:val="20"/>
    </w:rPr>
  </w:style>
  <w:style w:type="paragraph" w:styleId="Footer">
    <w:name w:val="footer"/>
    <w:basedOn w:val="Normal"/>
    <w:link w:val="FooterChar"/>
    <w:rsid w:val="007E774F"/>
    <w:pPr>
      <w:tabs>
        <w:tab w:val="center" w:pos="4395"/>
        <w:tab w:val="right" w:pos="8931"/>
      </w:tabs>
      <w:ind w:left="-425"/>
    </w:pPr>
    <w:rPr>
      <w:sz w:val="18"/>
    </w:rPr>
  </w:style>
  <w:style w:type="character" w:customStyle="1" w:styleId="FooterChar">
    <w:name w:val="Footer Char"/>
    <w:basedOn w:val="DefaultParagraphFont"/>
    <w:link w:val="Footer"/>
    <w:rsid w:val="007E774F"/>
    <w:rPr>
      <w:rFonts w:ascii="Arial" w:eastAsia="Times New Roman" w:hAnsi="Arial" w:cs="Times New Roman"/>
      <w:sz w:val="18"/>
      <w:szCs w:val="20"/>
      <w:lang w:eastAsia="en-AU"/>
    </w:rPr>
  </w:style>
  <w:style w:type="character" w:customStyle="1" w:styleId="BlockText-PlainChar">
    <w:name w:val="Block Text- Plain Char"/>
    <w:basedOn w:val="DefaultParagraphFont"/>
    <w:link w:val="BlockText-Plain"/>
    <w:rsid w:val="007E774F"/>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4267</Characters>
  <Application>Microsoft Office Word</Application>
  <DocSecurity>0</DocSecurity>
  <Lines>118</Lines>
  <Paragraphs>66</Paragraphs>
  <ScaleCrop>false</ScaleCrop>
  <Company>Defence</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Amphlett, Kieron MR</dc:creator>
  <cp:keywords/>
  <dc:description/>
  <cp:lastModifiedBy>Amphlett, Kieron MR</cp:lastModifiedBy>
  <cp:revision>2</cp:revision>
  <dcterms:created xsi:type="dcterms:W3CDTF">2018-02-20T01:39:00Z</dcterms:created>
  <dcterms:modified xsi:type="dcterms:W3CDTF">2018-02-20T01:40:00Z</dcterms:modified>
</cp:coreProperties>
</file>